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CEA" w:rsidRDefault="00872CEA" w:rsidP="00872CEA">
      <w:pPr>
        <w:suppressLineNumbers/>
        <w:spacing w:after="0" w:line="240" w:lineRule="auto"/>
        <w:jc w:val="center"/>
        <w:rPr>
          <w:rFonts w:ascii="Times New Roman" w:eastAsia="Times New Roman" w:hAnsi="Times New Roman" w:cs="David"/>
          <w:noProof/>
          <w:sz w:val="24"/>
          <w:szCs w:val="24"/>
          <w:rtl/>
        </w:rPr>
      </w:pPr>
      <w:bookmarkStart w:id="0" w:name="_GoBack"/>
      <w:bookmarkEnd w:id="0"/>
      <w:r>
        <w:rPr>
          <w:noProof/>
        </w:rPr>
        <w:drawing>
          <wp:inline distT="0" distB="0" distL="0" distR="0" wp14:anchorId="50107C5D" wp14:editId="7C01F7F9">
            <wp:extent cx="374015" cy="469265"/>
            <wp:effectExtent l="0" t="0" r="6985" b="6985"/>
            <wp:docPr id="1"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872CEA" w:rsidRDefault="00872CEA" w:rsidP="00872CEA">
      <w:pPr>
        <w:suppressLineNumbers/>
        <w:spacing w:after="0" w:line="240" w:lineRule="auto"/>
        <w:jc w:val="center"/>
        <w:rPr>
          <w:rFonts w:ascii="Times New Roman" w:eastAsia="Times New Roman" w:hAnsi="Times New Roman" w:cs="David"/>
          <w:noProof/>
          <w:sz w:val="24"/>
          <w:szCs w:val="24"/>
          <w:rtl/>
        </w:rPr>
      </w:pPr>
      <w:r>
        <w:rPr>
          <w:rFonts w:ascii="Tahoma" w:hAnsi="Tahoma"/>
          <w:color w:val="000080"/>
          <w:sz w:val="32"/>
          <w:szCs w:val="32"/>
          <w:rtl/>
        </w:rPr>
        <w:t>בית המשפט המחוזי בבאר שבע</w:t>
      </w:r>
    </w:p>
    <w:p w:rsidR="00872CEA" w:rsidRDefault="00872CEA" w:rsidP="00872CEA">
      <w:pPr>
        <w:suppressLineNumbers/>
        <w:spacing w:after="0" w:line="240" w:lineRule="auto"/>
        <w:rPr>
          <w:rFonts w:ascii="Times New Roman" w:eastAsia="Times New Roman" w:hAnsi="Times New Roman" w:cs="David"/>
          <w:noProof/>
          <w:sz w:val="24"/>
          <w:szCs w:val="24"/>
          <w:rtl/>
        </w:rPr>
      </w:pPr>
    </w:p>
    <w:p w:rsidR="00872CEA" w:rsidRDefault="00872CEA" w:rsidP="00872CEA">
      <w:pPr>
        <w:suppressLineNumbers/>
        <w:spacing w:after="0" w:line="240" w:lineRule="auto"/>
        <w:rPr>
          <w:rFonts w:ascii="Times New Roman" w:eastAsia="Times New Roman" w:hAnsi="Times New Roman" w:cs="David"/>
          <w:noProof/>
          <w:sz w:val="24"/>
          <w:szCs w:val="24"/>
          <w:rtl/>
        </w:rPr>
      </w:pPr>
    </w:p>
    <w:p w:rsidR="00872CEA" w:rsidRPr="00872CEA" w:rsidRDefault="004C6CC1" w:rsidP="00964A32">
      <w:pPr>
        <w:divId w:val="1303383524"/>
        <w:rPr>
          <w:rFonts w:ascii="David" w:hAnsi="David" w:cs="David"/>
          <w:b/>
          <w:bCs/>
          <w:sz w:val="26"/>
          <w:szCs w:val="26"/>
        </w:rPr>
      </w:pPr>
      <w:sdt>
        <w:sdtPr>
          <w:rPr>
            <w:rFonts w:ascii="David" w:hAnsi="David" w:cs="David"/>
            <w:rtl/>
          </w:rPr>
          <w:alias w:val="1170"/>
          <w:tag w:val="1170"/>
          <w:id w:val="1066377040"/>
          <w:text w:multiLine="1"/>
        </w:sdtPr>
        <w:sdtEndPr/>
        <w:sdtContent>
          <w:r w:rsidR="00872CEA" w:rsidRPr="00872CEA">
            <w:rPr>
              <w:rFonts w:ascii="David" w:hAnsi="David" w:cs="David"/>
              <w:b/>
              <w:bCs/>
              <w:sz w:val="26"/>
              <w:szCs w:val="26"/>
              <w:rtl/>
            </w:rPr>
            <w:t>רמ"ש</w:t>
          </w:r>
        </w:sdtContent>
      </w:sdt>
      <w:r w:rsidR="00872CEA" w:rsidRPr="00872CEA">
        <w:rPr>
          <w:rFonts w:ascii="David" w:hAnsi="David" w:cs="David"/>
          <w:b/>
          <w:bCs/>
          <w:sz w:val="26"/>
          <w:szCs w:val="26"/>
          <w:rtl/>
        </w:rPr>
        <w:t xml:space="preserve"> </w:t>
      </w:r>
      <w:sdt>
        <w:sdtPr>
          <w:rPr>
            <w:rFonts w:ascii="David" w:hAnsi="David" w:cs="David"/>
            <w:rtl/>
          </w:rPr>
          <w:alias w:val="1171"/>
          <w:tag w:val="1171"/>
          <w:id w:val="257034231"/>
          <w:text w:multiLine="1"/>
        </w:sdtPr>
        <w:sdtEndPr/>
        <w:sdtContent>
          <w:r w:rsidR="00872CEA" w:rsidRPr="00872CEA">
            <w:rPr>
              <w:rFonts w:ascii="David" w:hAnsi="David" w:cs="David"/>
              <w:b/>
              <w:bCs/>
              <w:sz w:val="26"/>
              <w:szCs w:val="26"/>
              <w:rtl/>
            </w:rPr>
            <w:t>43589-08-24</w:t>
          </w:r>
        </w:sdtContent>
      </w:sdt>
      <w:r w:rsidR="00872CEA" w:rsidRPr="00872CEA">
        <w:rPr>
          <w:rFonts w:ascii="David" w:hAnsi="David" w:cs="David"/>
          <w:b/>
          <w:bCs/>
          <w:sz w:val="26"/>
          <w:szCs w:val="26"/>
          <w:rtl/>
        </w:rPr>
        <w:t xml:space="preserve"> </w:t>
      </w:r>
      <w:sdt>
        <w:sdtPr>
          <w:rPr>
            <w:rFonts w:ascii="David" w:hAnsi="David" w:cs="David"/>
            <w:b/>
            <w:bCs/>
            <w:sz w:val="26"/>
            <w:szCs w:val="26"/>
            <w:rtl/>
          </w:rPr>
          <w:alias w:val="3154"/>
          <w:tag w:val="3154"/>
          <w:id w:val="-1285889662"/>
          <w:placeholder>
            <w:docPart w:val="61196696C5A344459D0A6696EC7A7597"/>
          </w:placeholder>
          <w:text w:multiLine="1"/>
        </w:sdtPr>
        <w:sdtEndPr/>
        <w:sdtContent>
          <w:r w:rsidR="00964A32">
            <w:rPr>
              <w:rFonts w:ascii="David" w:hAnsi="David" w:cs="David" w:hint="cs"/>
              <w:b/>
              <w:bCs/>
              <w:sz w:val="26"/>
              <w:szCs w:val="26"/>
              <w:rtl/>
            </w:rPr>
            <w:t>פלונית</w:t>
          </w:r>
          <w:r w:rsidR="00872CEA" w:rsidRPr="00872CEA">
            <w:rPr>
              <w:rFonts w:ascii="David" w:hAnsi="David" w:cs="David"/>
              <w:b/>
              <w:bCs/>
              <w:sz w:val="26"/>
              <w:szCs w:val="26"/>
              <w:rtl/>
            </w:rPr>
            <w:t xml:space="preserve"> נ' </w:t>
          </w:r>
          <w:r w:rsidR="00964A32">
            <w:rPr>
              <w:rFonts w:ascii="David" w:hAnsi="David" w:cs="David" w:hint="cs"/>
              <w:b/>
              <w:bCs/>
              <w:sz w:val="26"/>
              <w:szCs w:val="26"/>
              <w:rtl/>
            </w:rPr>
            <w:t xml:space="preserve">אלמוני </w:t>
          </w:r>
          <w:r w:rsidR="00872CEA" w:rsidRPr="00872CEA">
            <w:rPr>
              <w:rFonts w:ascii="David" w:hAnsi="David" w:cs="David"/>
              <w:b/>
              <w:bCs/>
              <w:sz w:val="26"/>
              <w:szCs w:val="26"/>
              <w:rtl/>
            </w:rPr>
            <w:t>ואח'</w:t>
          </w:r>
        </w:sdtContent>
      </w:sdt>
      <w:r w:rsidR="00872CEA" w:rsidRPr="00872CEA">
        <w:rPr>
          <w:rFonts w:ascii="David" w:hAnsi="David" w:cs="David"/>
          <w:b/>
          <w:bCs/>
          <w:sz w:val="26"/>
          <w:szCs w:val="26"/>
          <w:rtl/>
        </w:rPr>
        <w:t xml:space="preserve"> </w:t>
      </w:r>
    </w:p>
    <w:p w:rsidR="00872CEA" w:rsidRDefault="00872CEA">
      <w:pPr>
        <w:divId w:val="1303383524"/>
        <w:rPr>
          <w:b/>
          <w:bCs/>
          <w:sz w:val="2"/>
          <w:szCs w:val="2"/>
          <w:rtl/>
        </w:rPr>
      </w:pPr>
    </w:p>
    <w:p w:rsidR="00872CEA" w:rsidRDefault="00872CEA">
      <w:pPr>
        <w:divId w:val="1303383524"/>
        <w:rPr>
          <w:noProof/>
          <w:sz w:val="20"/>
          <w:szCs w:val="20"/>
          <w:rtl/>
        </w:rPr>
      </w:pPr>
      <w:r>
        <w:rPr>
          <w:rtl/>
        </w:rPr>
        <w:t xml:space="preserve">                           </w:t>
      </w:r>
      <w:r>
        <w:rPr>
          <w:sz w:val="20"/>
          <w:szCs w:val="20"/>
          <w:rtl/>
        </w:rPr>
        <w:t xml:space="preserve">                                       </w:t>
      </w: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72CEA" w:rsidRPr="00872CEA" w:rsidTr="00872CEA">
        <w:trPr>
          <w:jc w:val="center"/>
        </w:trPr>
        <w:tc>
          <w:tcPr>
            <w:tcW w:w="743" w:type="dxa"/>
            <w:hideMark/>
          </w:tcPr>
          <w:p w:rsidR="00872CEA" w:rsidRPr="00872CEA" w:rsidRDefault="00872CEA" w:rsidP="00872CEA">
            <w:pPr>
              <w:suppressLineNumbers/>
              <w:jc w:val="both"/>
              <w:rPr>
                <w:rFonts w:ascii="Arial" w:hAnsi="Arial" w:cs="David"/>
                <w:b/>
                <w:bCs/>
                <w:noProof/>
                <w:sz w:val="26"/>
                <w:szCs w:val="26"/>
                <w:rtl/>
              </w:rPr>
            </w:pPr>
            <w:r>
              <w:rPr>
                <w:rFonts w:ascii="Arial" w:hAnsi="Arial" w:cs="David" w:hint="cs"/>
                <w:b/>
                <w:bCs/>
                <w:noProof/>
                <w:sz w:val="26"/>
                <w:szCs w:val="26"/>
                <w:rtl/>
              </w:rPr>
              <w:t>ל</w:t>
            </w:r>
            <w:r w:rsidRPr="00872CEA">
              <w:rPr>
                <w:rFonts w:ascii="Arial" w:hAnsi="Arial" w:cs="David"/>
                <w:b/>
                <w:bCs/>
                <w:noProof/>
                <w:sz w:val="26"/>
                <w:szCs w:val="26"/>
                <w:rtl/>
              </w:rPr>
              <w:t xml:space="preserve">פני </w:t>
            </w:r>
          </w:p>
        </w:tc>
        <w:tc>
          <w:tcPr>
            <w:tcW w:w="8077" w:type="dxa"/>
            <w:gridSpan w:val="2"/>
          </w:tcPr>
          <w:p w:rsidR="00872CEA" w:rsidRPr="00872CEA" w:rsidRDefault="00872CEA" w:rsidP="00872CEA">
            <w:pPr>
              <w:suppressLineNumbers/>
              <w:jc w:val="left"/>
              <w:rPr>
                <w:rFonts w:ascii="Arial" w:hAnsi="Arial" w:cs="David"/>
                <w:b/>
                <w:bCs/>
                <w:noProof/>
                <w:sz w:val="26"/>
                <w:szCs w:val="26"/>
                <w:rtl/>
              </w:rPr>
            </w:pPr>
            <w:r w:rsidRPr="00872CEA">
              <w:rPr>
                <w:rFonts w:ascii="Arial" w:hAnsi="Arial" w:cs="David"/>
                <w:b/>
                <w:bCs/>
                <w:noProof/>
                <w:sz w:val="26"/>
                <w:szCs w:val="26"/>
                <w:rtl/>
              </w:rPr>
              <w:t>כבוד ה</w:t>
            </w:r>
            <w:sdt>
              <w:sdtPr>
                <w:rPr>
                  <w:rFonts w:cs="David"/>
                  <w:b/>
                  <w:bCs/>
                  <w:noProof/>
                  <w:sz w:val="26"/>
                  <w:szCs w:val="26"/>
                  <w:rtl/>
                </w:rPr>
                <w:alias w:val="1574"/>
                <w:tag w:val="1574"/>
                <w:id w:val="414602899"/>
                <w:text w:multiLine="1"/>
              </w:sdtPr>
              <w:sdtEndPr/>
              <w:sdtContent>
                <w:r w:rsidRPr="00872CEA">
                  <w:rPr>
                    <w:rFonts w:cs="David"/>
                    <w:b/>
                    <w:bCs/>
                    <w:noProof/>
                    <w:sz w:val="26"/>
                    <w:szCs w:val="26"/>
                    <w:rtl/>
                  </w:rPr>
                  <w:t>שופטת</w:t>
                </w:r>
              </w:sdtContent>
            </w:sdt>
            <w:r w:rsidRPr="00872CEA">
              <w:rPr>
                <w:rFonts w:ascii="Arial" w:hAnsi="Arial" w:cs="David"/>
                <w:b/>
                <w:bCs/>
                <w:noProof/>
                <w:sz w:val="26"/>
                <w:szCs w:val="26"/>
                <w:rtl/>
              </w:rPr>
              <w:t xml:space="preserve"> </w:t>
            </w:r>
            <w:sdt>
              <w:sdtPr>
                <w:rPr>
                  <w:rFonts w:cs="David"/>
                  <w:b/>
                  <w:bCs/>
                  <w:noProof/>
                  <w:sz w:val="26"/>
                  <w:szCs w:val="26"/>
                  <w:rtl/>
                </w:rPr>
                <w:alias w:val="1573"/>
                <w:tag w:val="1573"/>
                <w:id w:val="-1751030614"/>
                <w:text w:multiLine="1"/>
              </w:sdtPr>
              <w:sdtEndPr/>
              <w:sdtContent>
                <w:r w:rsidRPr="00872CEA">
                  <w:rPr>
                    <w:rFonts w:cs="David"/>
                    <w:b/>
                    <w:bCs/>
                    <w:noProof/>
                    <w:sz w:val="26"/>
                    <w:szCs w:val="26"/>
                    <w:rtl/>
                  </w:rPr>
                  <w:t>פאני גילת כהן</w:t>
                </w:r>
              </w:sdtContent>
            </w:sdt>
          </w:p>
          <w:p w:rsidR="00872CEA" w:rsidRPr="00872CEA" w:rsidRDefault="00872CEA" w:rsidP="00872CEA">
            <w:pPr>
              <w:suppressLineNumbers/>
              <w:rPr>
                <w:rFonts w:ascii="Arial" w:hAnsi="Arial" w:cs="FrankRuehl"/>
                <w:b/>
                <w:bCs/>
                <w:noProof/>
                <w:sz w:val="26"/>
                <w:szCs w:val="26"/>
                <w:highlight w:val="yellow"/>
                <w:rtl/>
              </w:rPr>
            </w:pPr>
          </w:p>
        </w:tc>
      </w:tr>
      <w:tr w:rsidR="00872CEA" w:rsidRPr="00872CEA" w:rsidTr="00872CEA">
        <w:trPr>
          <w:jc w:val="center"/>
        </w:trPr>
        <w:tc>
          <w:tcPr>
            <w:tcW w:w="743" w:type="dxa"/>
          </w:tcPr>
          <w:p w:rsidR="00872CEA" w:rsidRPr="00872CEA" w:rsidRDefault="00872CEA" w:rsidP="00872CEA">
            <w:pPr>
              <w:suppressLineNumbers/>
              <w:jc w:val="both"/>
              <w:rPr>
                <w:rFonts w:ascii="Arial" w:hAnsi="Arial" w:cs="David"/>
                <w:b/>
                <w:bCs/>
                <w:noProof/>
                <w:sz w:val="26"/>
                <w:szCs w:val="26"/>
              </w:rPr>
            </w:pPr>
          </w:p>
        </w:tc>
        <w:tc>
          <w:tcPr>
            <w:tcW w:w="8077" w:type="dxa"/>
            <w:gridSpan w:val="2"/>
          </w:tcPr>
          <w:p w:rsidR="00872CEA" w:rsidRPr="00872CEA" w:rsidRDefault="00872CEA" w:rsidP="00872CEA">
            <w:pPr>
              <w:suppressLineNumbers/>
              <w:rPr>
                <w:rFonts w:cs="David"/>
                <w:noProof/>
                <w:sz w:val="26"/>
                <w:szCs w:val="26"/>
                <w:rtl/>
              </w:rPr>
            </w:pPr>
          </w:p>
        </w:tc>
      </w:tr>
      <w:tr w:rsidR="00872CEA" w:rsidRPr="00872CEA" w:rsidTr="00872CEA">
        <w:trPr>
          <w:jc w:val="center"/>
        </w:trPr>
        <w:tc>
          <w:tcPr>
            <w:tcW w:w="3249" w:type="dxa"/>
            <w:gridSpan w:val="2"/>
          </w:tcPr>
          <w:p w:rsidR="00872CEA" w:rsidRPr="00872CEA" w:rsidRDefault="00872CEA" w:rsidP="00872CEA">
            <w:pPr>
              <w:suppressLineNumbers/>
              <w:rPr>
                <w:rFonts w:cs="David"/>
                <w:noProof/>
                <w:sz w:val="24"/>
                <w:szCs w:val="24"/>
                <w:rtl/>
              </w:rPr>
            </w:pPr>
          </w:p>
          <w:sdt>
            <w:sdtPr>
              <w:rPr>
                <w:rFonts w:cs="David"/>
                <w:b/>
                <w:bCs/>
                <w:noProof/>
                <w:sz w:val="24"/>
                <w:szCs w:val="24"/>
                <w:rtl/>
              </w:rPr>
              <w:alias w:val="1180"/>
              <w:tag w:val="1180"/>
              <w:id w:val="1082797710"/>
              <w:text w:multiLine="1"/>
            </w:sdtPr>
            <w:sdtEndPr/>
            <w:sdtContent>
              <w:p w:rsidR="00872CEA" w:rsidRPr="00872CEA" w:rsidRDefault="00872CEA" w:rsidP="00872CEA">
                <w:pPr>
                  <w:suppressLineNumbers/>
                  <w:jc w:val="left"/>
                  <w:rPr>
                    <w:rFonts w:ascii="Arial" w:hAnsi="Arial" w:cs="David"/>
                    <w:b/>
                    <w:bCs/>
                    <w:sz w:val="26"/>
                    <w:szCs w:val="26"/>
                  </w:rPr>
                </w:pPr>
                <w:r w:rsidRPr="00872CEA">
                  <w:rPr>
                    <w:rFonts w:cs="David"/>
                    <w:b/>
                    <w:bCs/>
                    <w:noProof/>
                    <w:sz w:val="24"/>
                    <w:szCs w:val="24"/>
                    <w:rtl/>
                  </w:rPr>
                  <w:t>המבקשת</w:t>
                </w:r>
              </w:p>
            </w:sdtContent>
          </w:sdt>
        </w:tc>
        <w:tc>
          <w:tcPr>
            <w:tcW w:w="5571" w:type="dxa"/>
          </w:tcPr>
          <w:p w:rsidR="00872CEA" w:rsidRPr="00872CEA" w:rsidRDefault="00872CEA" w:rsidP="00872CEA">
            <w:pPr>
              <w:suppressLineNumbers/>
              <w:rPr>
                <w:rFonts w:cs="David"/>
                <w:noProof/>
                <w:sz w:val="24"/>
                <w:szCs w:val="24"/>
                <w:rtl/>
              </w:rPr>
            </w:pPr>
          </w:p>
          <w:p w:rsidR="00872CEA" w:rsidRPr="00872CEA" w:rsidRDefault="004C6CC1" w:rsidP="00964A32">
            <w:pPr>
              <w:suppressLineNumbers/>
              <w:jc w:val="left"/>
              <w:rPr>
                <w:rFonts w:cs="David"/>
                <w:b/>
                <w:bCs/>
                <w:sz w:val="26"/>
                <w:szCs w:val="26"/>
                <w:rtl/>
              </w:rPr>
            </w:pPr>
            <w:sdt>
              <w:sdtPr>
                <w:rPr>
                  <w:rFonts w:ascii="Arial" w:hAnsi="Arial" w:cs="David"/>
                  <w:b/>
                  <w:bCs/>
                  <w:sz w:val="26"/>
                  <w:szCs w:val="26"/>
                  <w:rtl/>
                </w:rPr>
                <w:alias w:val="3151"/>
                <w:tag w:val="3151"/>
                <w:id w:val="1166218717"/>
                <w:placeholder>
                  <w:docPart w:val="D7232531F10C4375928296DFA9D1B11E"/>
                </w:placeholder>
                <w:text w:multiLine="1"/>
              </w:sdtPr>
              <w:sdtEndPr/>
              <w:sdtContent>
                <w:r w:rsidR="00964A32">
                  <w:rPr>
                    <w:rFonts w:ascii="Arial" w:hAnsi="Arial" w:cs="David" w:hint="cs"/>
                    <w:b/>
                    <w:bCs/>
                    <w:sz w:val="26"/>
                    <w:szCs w:val="26"/>
                    <w:rtl/>
                  </w:rPr>
                  <w:t>פלונית</w:t>
                </w:r>
                <w:r w:rsidR="00872CEA" w:rsidRPr="00872CEA">
                  <w:rPr>
                    <w:rFonts w:ascii="Arial" w:hAnsi="Arial" w:cs="David"/>
                    <w:b/>
                    <w:bCs/>
                    <w:sz w:val="26"/>
                    <w:szCs w:val="26"/>
                    <w:rtl/>
                  </w:rPr>
                  <w:br/>
                  <w:t xml:space="preserve">באמצעות ב"כ עו"ד אלי יוגב ו/או עו"ד מוטי גנץ </w:t>
                </w:r>
              </w:sdtContent>
            </w:sdt>
          </w:p>
        </w:tc>
      </w:tr>
      <w:tr w:rsidR="00872CEA" w:rsidRPr="00872CEA" w:rsidTr="00872CEA">
        <w:trPr>
          <w:jc w:val="center"/>
        </w:trPr>
        <w:tc>
          <w:tcPr>
            <w:tcW w:w="8820" w:type="dxa"/>
            <w:gridSpan w:val="3"/>
          </w:tcPr>
          <w:p w:rsidR="00872CEA" w:rsidRPr="00872CEA" w:rsidRDefault="00872CEA" w:rsidP="00872CEA">
            <w:pPr>
              <w:suppressLineNumbers/>
              <w:rPr>
                <w:rFonts w:ascii="Arial" w:hAnsi="Arial" w:cs="David"/>
                <w:b/>
                <w:bCs/>
                <w:sz w:val="26"/>
                <w:szCs w:val="26"/>
                <w:rtl/>
              </w:rPr>
            </w:pPr>
          </w:p>
          <w:p w:rsidR="00872CEA" w:rsidRPr="00872CEA" w:rsidRDefault="00872CEA" w:rsidP="00872CEA">
            <w:pPr>
              <w:suppressLineNumbers/>
              <w:jc w:val="center"/>
              <w:rPr>
                <w:rFonts w:ascii="Arial" w:hAnsi="Arial" w:cs="David"/>
                <w:b/>
                <w:bCs/>
                <w:sz w:val="26"/>
                <w:szCs w:val="26"/>
              </w:rPr>
            </w:pPr>
          </w:p>
        </w:tc>
      </w:tr>
      <w:tr w:rsidR="00872CEA" w:rsidRPr="00872CEA" w:rsidTr="00872CEA">
        <w:trPr>
          <w:jc w:val="center"/>
        </w:trPr>
        <w:tc>
          <w:tcPr>
            <w:tcW w:w="3249" w:type="dxa"/>
            <w:gridSpan w:val="2"/>
            <w:hideMark/>
          </w:tcPr>
          <w:p w:rsidR="00872CEA" w:rsidRPr="00872CEA" w:rsidRDefault="004C6CC1" w:rsidP="00872CEA">
            <w:pPr>
              <w:suppressLineNumbers/>
              <w:jc w:val="left"/>
              <w:rPr>
                <w:rFonts w:ascii="Arial" w:hAnsi="Arial" w:cs="David"/>
                <w:b/>
                <w:bCs/>
                <w:sz w:val="26"/>
                <w:szCs w:val="26"/>
                <w:rtl/>
              </w:rPr>
            </w:pPr>
            <w:sdt>
              <w:sdtPr>
                <w:rPr>
                  <w:rFonts w:cs="David"/>
                  <w:b/>
                  <w:bCs/>
                  <w:noProof/>
                  <w:sz w:val="24"/>
                  <w:szCs w:val="24"/>
                  <w:rtl/>
                </w:rPr>
                <w:alias w:val="1184"/>
                <w:tag w:val="1184"/>
                <w:id w:val="1455519236"/>
                <w:text w:multiLine="1"/>
              </w:sdtPr>
              <w:sdtEndPr/>
              <w:sdtContent>
                <w:r w:rsidR="00872CEA" w:rsidRPr="00872CEA">
                  <w:rPr>
                    <w:rFonts w:cs="David"/>
                    <w:b/>
                    <w:bCs/>
                    <w:noProof/>
                    <w:sz w:val="24"/>
                    <w:szCs w:val="24"/>
                    <w:rtl/>
                  </w:rPr>
                  <w:t>המשיבים</w:t>
                </w:r>
              </w:sdtContent>
            </w:sdt>
          </w:p>
        </w:tc>
        <w:tc>
          <w:tcPr>
            <w:tcW w:w="5571" w:type="dxa"/>
            <w:hideMark/>
          </w:tcPr>
          <w:p w:rsidR="00872CEA" w:rsidRPr="00872CEA" w:rsidRDefault="004C6CC1" w:rsidP="00964A32">
            <w:pPr>
              <w:suppressLineNumbers/>
              <w:jc w:val="left"/>
              <w:rPr>
                <w:rFonts w:ascii="Arial" w:hAnsi="Arial" w:cs="David"/>
                <w:b/>
                <w:bCs/>
                <w:sz w:val="26"/>
                <w:szCs w:val="26"/>
              </w:rPr>
            </w:pPr>
            <w:sdt>
              <w:sdtPr>
                <w:rPr>
                  <w:rFonts w:ascii="Arial" w:hAnsi="Arial" w:cs="David"/>
                  <w:b/>
                  <w:bCs/>
                  <w:sz w:val="26"/>
                  <w:szCs w:val="26"/>
                  <w:rtl/>
                </w:rPr>
                <w:alias w:val="1571"/>
                <w:tag w:val="1571"/>
                <w:id w:val="-588538090"/>
                <w:text w:multiLine="1"/>
              </w:sdtPr>
              <w:sdtEndPr/>
              <w:sdtContent>
                <w:r w:rsidR="00872CEA" w:rsidRPr="00872CEA">
                  <w:rPr>
                    <w:rFonts w:ascii="Arial" w:hAnsi="Arial" w:cs="David"/>
                    <w:b/>
                    <w:bCs/>
                    <w:sz w:val="26"/>
                    <w:szCs w:val="26"/>
                    <w:rtl/>
                  </w:rPr>
                  <w:t>1</w:t>
                </w:r>
              </w:sdtContent>
            </w:sdt>
            <w:r w:rsidR="00872CEA" w:rsidRPr="00872CEA">
              <w:rPr>
                <w:rFonts w:ascii="Arial" w:hAnsi="Arial" w:cs="David"/>
                <w:b/>
                <w:bCs/>
                <w:sz w:val="26"/>
                <w:szCs w:val="26"/>
                <w:rtl/>
              </w:rPr>
              <w:t xml:space="preserve">. </w:t>
            </w:r>
            <w:sdt>
              <w:sdtPr>
                <w:rPr>
                  <w:rFonts w:ascii="Arial" w:hAnsi="Arial" w:cs="David"/>
                  <w:b/>
                  <w:bCs/>
                  <w:sz w:val="26"/>
                  <w:szCs w:val="26"/>
                  <w:rtl/>
                </w:rPr>
                <w:alias w:val="3152"/>
                <w:tag w:val="3152"/>
                <w:id w:val="-1346628691"/>
                <w:placeholder>
                  <w:docPart w:val="1298E23B7D6E4BBAAAB730E783C8794D"/>
                </w:placeholder>
                <w:text w:multiLine="1"/>
              </w:sdtPr>
              <w:sdtEndPr/>
              <w:sdtContent>
                <w:r w:rsidR="00964A32">
                  <w:rPr>
                    <w:rFonts w:ascii="Arial" w:hAnsi="Arial" w:cs="David" w:hint="cs"/>
                    <w:b/>
                    <w:bCs/>
                    <w:sz w:val="26"/>
                    <w:szCs w:val="26"/>
                    <w:rtl/>
                  </w:rPr>
                  <w:t>אלמוני</w:t>
                </w:r>
              </w:sdtContent>
            </w:sdt>
          </w:p>
          <w:p w:rsidR="00872CEA" w:rsidRPr="00872CEA" w:rsidRDefault="004C6CC1" w:rsidP="00964A32">
            <w:pPr>
              <w:suppressLineNumbers/>
              <w:jc w:val="left"/>
              <w:rPr>
                <w:rFonts w:ascii="Arial" w:hAnsi="Arial" w:cs="David"/>
                <w:b/>
                <w:bCs/>
                <w:sz w:val="26"/>
                <w:szCs w:val="26"/>
              </w:rPr>
            </w:pPr>
            <w:sdt>
              <w:sdtPr>
                <w:rPr>
                  <w:rFonts w:ascii="Arial" w:hAnsi="Arial" w:cs="David"/>
                  <w:b/>
                  <w:bCs/>
                  <w:sz w:val="26"/>
                  <w:szCs w:val="26"/>
                  <w:rtl/>
                </w:rPr>
                <w:alias w:val="1571"/>
                <w:tag w:val="1571"/>
                <w:id w:val="-1744175390"/>
                <w:text w:multiLine="1"/>
              </w:sdtPr>
              <w:sdtEndPr/>
              <w:sdtContent>
                <w:r w:rsidR="00872CEA" w:rsidRPr="00872CEA">
                  <w:rPr>
                    <w:rFonts w:ascii="Arial" w:hAnsi="Arial" w:cs="David"/>
                    <w:b/>
                    <w:bCs/>
                    <w:sz w:val="26"/>
                    <w:szCs w:val="26"/>
                    <w:rtl/>
                  </w:rPr>
                  <w:t>2</w:t>
                </w:r>
              </w:sdtContent>
            </w:sdt>
            <w:r w:rsidR="00872CEA" w:rsidRPr="00872CEA">
              <w:rPr>
                <w:rFonts w:ascii="Arial" w:hAnsi="Arial" w:cs="David"/>
                <w:b/>
                <w:bCs/>
                <w:sz w:val="26"/>
                <w:szCs w:val="26"/>
                <w:rtl/>
              </w:rPr>
              <w:t xml:space="preserve">. </w:t>
            </w:r>
            <w:sdt>
              <w:sdtPr>
                <w:rPr>
                  <w:rFonts w:ascii="Arial" w:hAnsi="Arial" w:cs="David"/>
                  <w:b/>
                  <w:bCs/>
                  <w:sz w:val="26"/>
                  <w:szCs w:val="26"/>
                  <w:rtl/>
                </w:rPr>
                <w:alias w:val="3152"/>
                <w:tag w:val="3152"/>
                <w:id w:val="1976092672"/>
                <w:placeholder>
                  <w:docPart w:val="1298E23B7D6E4BBAAAB730E783C8794D"/>
                </w:placeholder>
                <w:text w:multiLine="1"/>
              </w:sdtPr>
              <w:sdtEndPr/>
              <w:sdtContent>
                <w:r w:rsidR="00964A32">
                  <w:rPr>
                    <w:rFonts w:ascii="Arial" w:hAnsi="Arial" w:cs="David" w:hint="cs"/>
                    <w:b/>
                    <w:bCs/>
                    <w:sz w:val="26"/>
                    <w:szCs w:val="26"/>
                    <w:rtl/>
                  </w:rPr>
                  <w:t>אלמונית</w:t>
                </w:r>
              </w:sdtContent>
            </w:sdt>
          </w:p>
          <w:p w:rsidR="00872CEA" w:rsidRPr="00872CEA" w:rsidRDefault="004C6CC1" w:rsidP="00964A32">
            <w:pPr>
              <w:suppressLineNumbers/>
              <w:jc w:val="left"/>
              <w:rPr>
                <w:rFonts w:ascii="Arial" w:hAnsi="Arial" w:cs="David"/>
                <w:b/>
                <w:bCs/>
                <w:sz w:val="26"/>
                <w:szCs w:val="26"/>
                <w:rtl/>
              </w:rPr>
            </w:pPr>
            <w:sdt>
              <w:sdtPr>
                <w:rPr>
                  <w:rFonts w:ascii="Arial" w:hAnsi="Arial" w:cs="David"/>
                  <w:b/>
                  <w:bCs/>
                  <w:sz w:val="26"/>
                  <w:szCs w:val="26"/>
                  <w:rtl/>
                </w:rPr>
                <w:alias w:val="1571"/>
                <w:tag w:val="1571"/>
                <w:id w:val="620733567"/>
                <w:text w:multiLine="1"/>
              </w:sdtPr>
              <w:sdtEndPr/>
              <w:sdtContent>
                <w:r w:rsidR="00872CEA" w:rsidRPr="00872CEA">
                  <w:rPr>
                    <w:rFonts w:ascii="Arial" w:hAnsi="Arial" w:cs="David"/>
                    <w:b/>
                    <w:bCs/>
                    <w:sz w:val="26"/>
                    <w:szCs w:val="26"/>
                    <w:rtl/>
                  </w:rPr>
                  <w:t>3</w:t>
                </w:r>
              </w:sdtContent>
            </w:sdt>
            <w:r w:rsidR="00872CEA" w:rsidRPr="00872CEA">
              <w:rPr>
                <w:rFonts w:ascii="Arial" w:hAnsi="Arial" w:cs="David"/>
                <w:b/>
                <w:bCs/>
                <w:sz w:val="26"/>
                <w:szCs w:val="26"/>
                <w:rtl/>
              </w:rPr>
              <w:t xml:space="preserve">. </w:t>
            </w:r>
            <w:sdt>
              <w:sdtPr>
                <w:rPr>
                  <w:rFonts w:ascii="Arial" w:hAnsi="Arial" w:cs="David"/>
                  <w:b/>
                  <w:bCs/>
                  <w:sz w:val="26"/>
                  <w:szCs w:val="26"/>
                  <w:rtl/>
                </w:rPr>
                <w:alias w:val="3152"/>
                <w:tag w:val="3152"/>
                <w:id w:val="-1218272899"/>
                <w:placeholder>
                  <w:docPart w:val="1298E23B7D6E4BBAAAB730E783C8794D"/>
                </w:placeholder>
                <w:text w:multiLine="1"/>
              </w:sdtPr>
              <w:sdtEndPr/>
              <w:sdtContent>
                <w:r w:rsidR="00964A32">
                  <w:rPr>
                    <w:rFonts w:ascii="Arial" w:hAnsi="Arial" w:cs="David" w:hint="cs"/>
                    <w:b/>
                    <w:bCs/>
                    <w:sz w:val="26"/>
                    <w:szCs w:val="26"/>
                    <w:rtl/>
                  </w:rPr>
                  <w:t>אלמונית</w:t>
                </w:r>
              </w:sdtContent>
            </w:sdt>
          </w:p>
          <w:p w:rsidR="00872CEA" w:rsidRPr="00872CEA" w:rsidRDefault="004C6CC1" w:rsidP="00964A32">
            <w:pPr>
              <w:suppressLineNumbers/>
              <w:jc w:val="left"/>
              <w:rPr>
                <w:rFonts w:ascii="Arial" w:hAnsi="Arial" w:cs="David"/>
                <w:b/>
                <w:bCs/>
                <w:sz w:val="26"/>
                <w:szCs w:val="26"/>
                <w:rtl/>
              </w:rPr>
            </w:pPr>
            <w:sdt>
              <w:sdtPr>
                <w:rPr>
                  <w:rFonts w:ascii="Arial" w:hAnsi="Arial" w:cs="David"/>
                  <w:b/>
                  <w:bCs/>
                  <w:sz w:val="26"/>
                  <w:szCs w:val="26"/>
                  <w:rtl/>
                </w:rPr>
                <w:alias w:val="1571"/>
                <w:tag w:val="1571"/>
                <w:id w:val="-123935234"/>
                <w:text w:multiLine="1"/>
              </w:sdtPr>
              <w:sdtEndPr/>
              <w:sdtContent>
                <w:r w:rsidR="00872CEA" w:rsidRPr="00872CEA">
                  <w:rPr>
                    <w:rFonts w:ascii="Arial" w:hAnsi="Arial" w:cs="David"/>
                    <w:b/>
                    <w:bCs/>
                    <w:sz w:val="26"/>
                    <w:szCs w:val="26"/>
                    <w:rtl/>
                  </w:rPr>
                  <w:t>4</w:t>
                </w:r>
              </w:sdtContent>
            </w:sdt>
            <w:r w:rsidR="00872CEA" w:rsidRPr="00872CEA">
              <w:rPr>
                <w:rFonts w:ascii="Arial" w:hAnsi="Arial" w:cs="David"/>
                <w:b/>
                <w:bCs/>
                <w:sz w:val="26"/>
                <w:szCs w:val="26"/>
                <w:rtl/>
              </w:rPr>
              <w:t xml:space="preserve">. </w:t>
            </w:r>
            <w:sdt>
              <w:sdtPr>
                <w:rPr>
                  <w:rFonts w:ascii="Arial" w:hAnsi="Arial" w:cs="David"/>
                  <w:b/>
                  <w:bCs/>
                  <w:sz w:val="26"/>
                  <w:szCs w:val="26"/>
                  <w:rtl/>
                </w:rPr>
                <w:alias w:val="3152"/>
                <w:tag w:val="3152"/>
                <w:id w:val="-1484155990"/>
                <w:placeholder>
                  <w:docPart w:val="1298E23B7D6E4BBAAAB730E783C8794D"/>
                </w:placeholder>
                <w:text w:multiLine="1"/>
              </w:sdtPr>
              <w:sdtEndPr/>
              <w:sdtContent>
                <w:r w:rsidR="00964A32">
                  <w:rPr>
                    <w:rFonts w:ascii="Arial" w:hAnsi="Arial" w:cs="David" w:hint="cs"/>
                    <w:b/>
                    <w:bCs/>
                    <w:sz w:val="26"/>
                    <w:szCs w:val="26"/>
                    <w:rtl/>
                  </w:rPr>
                  <w:t>אלמונית</w:t>
                </w:r>
              </w:sdtContent>
            </w:sdt>
          </w:p>
        </w:tc>
      </w:tr>
      <w:tr w:rsidR="00872CEA" w:rsidRPr="00872CEA" w:rsidTr="00872CEA">
        <w:trPr>
          <w:jc w:val="center"/>
        </w:trPr>
        <w:tc>
          <w:tcPr>
            <w:tcW w:w="8820" w:type="dxa"/>
            <w:gridSpan w:val="3"/>
          </w:tcPr>
          <w:p w:rsidR="00872CEA" w:rsidRPr="00872CEA" w:rsidRDefault="00872CEA" w:rsidP="00872CEA">
            <w:pPr>
              <w:suppressLineNumbers/>
              <w:tabs>
                <w:tab w:val="left" w:pos="3293"/>
              </w:tabs>
              <w:jc w:val="center"/>
              <w:rPr>
                <w:rFonts w:cs="David"/>
                <w:b/>
                <w:bCs/>
                <w:noProof/>
                <w:sz w:val="26"/>
                <w:szCs w:val="26"/>
                <w:rtl/>
              </w:rPr>
            </w:pPr>
            <w:r>
              <w:rPr>
                <w:rFonts w:cs="David" w:hint="cs"/>
                <w:noProof/>
                <w:sz w:val="24"/>
                <w:szCs w:val="24"/>
                <w:rtl/>
              </w:rPr>
              <w:t xml:space="preserve">                                                 </w:t>
            </w:r>
            <w:r w:rsidRPr="00872CEA">
              <w:rPr>
                <w:rFonts w:cs="David"/>
                <w:b/>
                <w:bCs/>
                <w:noProof/>
                <w:sz w:val="26"/>
                <w:szCs w:val="26"/>
                <w:rtl/>
              </w:rPr>
              <w:t>באמצעות ב"כ עו"ד ציון פטל ו/או עו"ד חנן שטיינר</w:t>
            </w:r>
          </w:p>
          <w:p w:rsidR="00872CEA" w:rsidRPr="00872CEA" w:rsidRDefault="00872CEA" w:rsidP="00872CEA">
            <w:pPr>
              <w:suppressLineNumbers/>
              <w:rPr>
                <w:rFonts w:cs="David"/>
                <w:noProof/>
                <w:sz w:val="24"/>
                <w:szCs w:val="24"/>
                <w:rtl/>
              </w:rPr>
            </w:pPr>
          </w:p>
          <w:p w:rsidR="00872CEA" w:rsidRPr="00872CEA" w:rsidRDefault="00872CEA" w:rsidP="00872CEA">
            <w:pPr>
              <w:suppressLineNumbers/>
              <w:rPr>
                <w:rFonts w:cs="David"/>
                <w:noProof/>
                <w:sz w:val="24"/>
                <w:szCs w:val="24"/>
              </w:rPr>
            </w:pPr>
          </w:p>
        </w:tc>
      </w:tr>
      <w:tr w:rsidR="00872CEA" w:rsidRPr="00872CEA" w:rsidTr="00872CEA">
        <w:trPr>
          <w:jc w:val="center"/>
        </w:trPr>
        <w:tc>
          <w:tcPr>
            <w:tcW w:w="3249" w:type="dxa"/>
            <w:gridSpan w:val="2"/>
            <w:hideMark/>
          </w:tcPr>
          <w:p w:rsidR="00872CEA" w:rsidRPr="00872CEA" w:rsidRDefault="00872CEA" w:rsidP="00872CEA">
            <w:pPr>
              <w:tabs>
                <w:tab w:val="left" w:pos="2157"/>
              </w:tabs>
              <w:jc w:val="left"/>
              <w:rPr>
                <w:rFonts w:ascii="David" w:eastAsia="David" w:hAnsi="David" w:cs="David"/>
                <w:b/>
                <w:bCs/>
                <w:sz w:val="24"/>
                <w:szCs w:val="24"/>
                <w:rtl/>
              </w:rPr>
            </w:pPr>
            <w:r w:rsidRPr="00872CEA">
              <w:rPr>
                <w:rFonts w:ascii="David" w:eastAsia="David" w:hAnsi="David" w:cs="David"/>
                <w:b/>
                <w:bCs/>
                <w:noProof/>
                <w:sz w:val="24"/>
                <w:szCs w:val="24"/>
                <w:rtl/>
              </w:rPr>
              <w:t>ובעניין:</w:t>
            </w:r>
          </w:p>
        </w:tc>
        <w:tc>
          <w:tcPr>
            <w:tcW w:w="5571" w:type="dxa"/>
          </w:tcPr>
          <w:p w:rsidR="00872CEA" w:rsidRPr="00872CEA" w:rsidRDefault="00872CEA" w:rsidP="00964A32">
            <w:pPr>
              <w:jc w:val="left"/>
              <w:rPr>
                <w:rFonts w:cs="David"/>
                <w:b/>
                <w:bCs/>
                <w:noProof/>
                <w:sz w:val="26"/>
                <w:szCs w:val="26"/>
                <w:rtl/>
              </w:rPr>
            </w:pPr>
            <w:r w:rsidRPr="00872CEA">
              <w:rPr>
                <w:rFonts w:cs="David"/>
                <w:b/>
                <w:bCs/>
                <w:noProof/>
                <w:sz w:val="26"/>
                <w:szCs w:val="26"/>
                <w:rtl/>
              </w:rPr>
              <w:t xml:space="preserve">עיזבון המנוחה </w:t>
            </w:r>
            <w:r w:rsidR="00964A32">
              <w:rPr>
                <w:rFonts w:cs="David" w:hint="cs"/>
                <w:b/>
                <w:bCs/>
                <w:noProof/>
                <w:sz w:val="26"/>
                <w:szCs w:val="26"/>
                <w:rtl/>
              </w:rPr>
              <w:t>....</w:t>
            </w:r>
            <w:r w:rsidRPr="00872CEA">
              <w:rPr>
                <w:rFonts w:cs="David"/>
                <w:b/>
                <w:bCs/>
                <w:noProof/>
                <w:sz w:val="26"/>
                <w:szCs w:val="26"/>
                <w:rtl/>
              </w:rPr>
              <w:t xml:space="preserve"> ז"ל </w:t>
            </w:r>
          </w:p>
          <w:p w:rsidR="00872CEA" w:rsidRPr="00872CEA" w:rsidRDefault="00872CEA" w:rsidP="00872CEA">
            <w:pPr>
              <w:rPr>
                <w:rFonts w:cs="David"/>
                <w:b/>
                <w:bCs/>
                <w:noProof/>
                <w:sz w:val="26"/>
                <w:szCs w:val="26"/>
              </w:rPr>
            </w:pPr>
          </w:p>
          <w:p w:rsidR="00872CEA" w:rsidRPr="00872CEA" w:rsidRDefault="00872CEA" w:rsidP="00872CEA">
            <w:pPr>
              <w:rPr>
                <w:rFonts w:cs="David"/>
                <w:b/>
                <w:bCs/>
                <w:noProof/>
                <w:sz w:val="26"/>
                <w:szCs w:val="26"/>
                <w:rtl/>
              </w:rPr>
            </w:pPr>
          </w:p>
        </w:tc>
      </w:tr>
      <w:tr w:rsidR="00872CEA" w:rsidRPr="00872CEA" w:rsidTr="00872CEA">
        <w:trPr>
          <w:jc w:val="center"/>
        </w:trPr>
        <w:tc>
          <w:tcPr>
            <w:tcW w:w="8820" w:type="dxa"/>
            <w:gridSpan w:val="3"/>
          </w:tcPr>
          <w:p w:rsidR="00872CEA" w:rsidRPr="00872CEA" w:rsidRDefault="00872CEA" w:rsidP="00872CEA">
            <w:pPr>
              <w:suppressLineNumbers/>
              <w:rPr>
                <w:rFonts w:ascii="Arial" w:hAnsi="Arial" w:cs="David"/>
                <w:b/>
                <w:bCs/>
                <w:sz w:val="26"/>
                <w:szCs w:val="26"/>
                <w:rtl/>
              </w:rPr>
            </w:pPr>
          </w:p>
        </w:tc>
      </w:tr>
    </w:tbl>
    <w:p w:rsidR="00872CEA" w:rsidRPr="00872CEA" w:rsidRDefault="00872CEA" w:rsidP="00872CEA">
      <w:pPr>
        <w:suppressLineNumbers/>
        <w:spacing w:after="0" w:line="240" w:lineRule="auto"/>
        <w:rPr>
          <w:rFonts w:ascii="Times New Roman" w:eastAsia="Times New Roman" w:hAnsi="Times New Roman" w:cs="David"/>
          <w:noProof/>
          <w:sz w:val="24"/>
          <w:szCs w:val="24"/>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872CEA" w:rsidRPr="00872CEA" w:rsidTr="00872CEA">
        <w:trPr>
          <w:jc w:val="center"/>
        </w:trPr>
        <w:tc>
          <w:tcPr>
            <w:tcW w:w="8820" w:type="dxa"/>
          </w:tcPr>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72CEA" w:rsidRPr="00872CEA">
              <w:trPr>
                <w:jc w:val="center"/>
              </w:trPr>
              <w:tc>
                <w:tcPr>
                  <w:tcW w:w="8820" w:type="dxa"/>
                </w:tcPr>
                <w:p w:rsidR="00872CEA" w:rsidRPr="00872CEA" w:rsidRDefault="00872CEA" w:rsidP="00872CEA">
                  <w:pPr>
                    <w:bidi w:val="0"/>
                    <w:jc w:val="center"/>
                    <w:rPr>
                      <w:rFonts w:ascii="Arial" w:hAnsi="Arial" w:cs="David"/>
                      <w:b/>
                      <w:bCs/>
                      <w:sz w:val="32"/>
                      <w:szCs w:val="32"/>
                      <w:u w:val="single"/>
                      <w:rtl/>
                    </w:rPr>
                  </w:pPr>
                  <w:r w:rsidRPr="00872CEA">
                    <w:rPr>
                      <w:rFonts w:ascii="Arial" w:hAnsi="Arial" w:cs="David"/>
                      <w:b/>
                      <w:bCs/>
                      <w:sz w:val="32"/>
                      <w:szCs w:val="32"/>
                      <w:u w:val="single"/>
                      <w:rtl/>
                    </w:rPr>
                    <w:t xml:space="preserve">פסק דין </w:t>
                  </w:r>
                </w:p>
                <w:p w:rsidR="00872CEA" w:rsidRPr="00872CEA" w:rsidRDefault="00872CEA" w:rsidP="00872CEA">
                  <w:pPr>
                    <w:bidi w:val="0"/>
                    <w:jc w:val="center"/>
                    <w:rPr>
                      <w:rFonts w:ascii="Arial" w:hAnsi="Arial" w:cs="David"/>
                      <w:b/>
                      <w:bCs/>
                      <w:sz w:val="28"/>
                      <w:szCs w:val="28"/>
                      <w:u w:val="single"/>
                      <w:rtl/>
                    </w:rPr>
                  </w:pPr>
                </w:p>
              </w:tc>
            </w:tr>
          </w:tbl>
          <w:p w:rsidR="00872CEA" w:rsidRPr="00872CEA" w:rsidRDefault="00872CEA" w:rsidP="00964A32">
            <w:pPr>
              <w:spacing w:line="360" w:lineRule="auto"/>
              <w:jc w:val="both"/>
              <w:rPr>
                <w:rFonts w:ascii="Arial" w:hAnsi="Arial" w:cs="David"/>
                <w:sz w:val="24"/>
                <w:szCs w:val="24"/>
                <w:rtl/>
              </w:rPr>
            </w:pPr>
            <w:r w:rsidRPr="00872CEA">
              <w:rPr>
                <w:rFonts w:ascii="Arial" w:hAnsi="Arial" w:cs="David"/>
                <w:sz w:val="24"/>
                <w:szCs w:val="24"/>
                <w:rtl/>
              </w:rPr>
              <w:t>מונחת לפניי בקשת רשות ערעור על החלטת בי</w:t>
            </w:r>
            <w:r w:rsidR="00964A32">
              <w:rPr>
                <w:rFonts w:ascii="Arial" w:hAnsi="Arial" w:cs="David"/>
                <w:sz w:val="24"/>
                <w:szCs w:val="24"/>
                <w:rtl/>
              </w:rPr>
              <w:t xml:space="preserve">ת המשפט לענייני משפחה בקרית גת </w:t>
            </w:r>
            <w:r w:rsidRPr="00872CEA">
              <w:rPr>
                <w:rFonts w:ascii="Arial" w:hAnsi="Arial" w:cs="David"/>
                <w:sz w:val="24"/>
                <w:szCs w:val="24"/>
                <w:rtl/>
              </w:rPr>
              <w:t xml:space="preserve">מיום 11.08.2024 שניתנה ב-ת"ע 20705-03-24, בגדרה אושררה למעשה חתימת בית המשפט על צווים פורמאליים שהוכתרו כפסיקתות והוגשו ע"י המשיבים, על פיהן הורה בית המשפט  על  גילוי הרשומות הרפואיות של המנוחה לתקופה שבין חודש </w:t>
            </w:r>
            <w:r w:rsidR="00964A32">
              <w:rPr>
                <w:rFonts w:ascii="Arial" w:hAnsi="Arial" w:cs="David" w:hint="cs"/>
                <w:sz w:val="24"/>
                <w:szCs w:val="24"/>
                <w:rtl/>
              </w:rPr>
              <w:t>...</w:t>
            </w:r>
            <w:r w:rsidRPr="00872CEA">
              <w:rPr>
                <w:rFonts w:ascii="Arial" w:hAnsi="Arial" w:cs="David"/>
                <w:sz w:val="24"/>
                <w:szCs w:val="24"/>
                <w:rtl/>
              </w:rPr>
              <w:t xml:space="preserve"> (שנתיים טרם חתימת המנוחה על צוואה שהיא מושא המחלוקת בהליך קמא) ועד לחודש </w:t>
            </w:r>
            <w:r w:rsidR="00964A32">
              <w:rPr>
                <w:rFonts w:ascii="Arial" w:hAnsi="Arial" w:cs="David" w:hint="cs"/>
                <w:sz w:val="24"/>
                <w:szCs w:val="24"/>
                <w:rtl/>
              </w:rPr>
              <w:t>....</w:t>
            </w:r>
            <w:r w:rsidRPr="00872CEA">
              <w:rPr>
                <w:rFonts w:ascii="Arial" w:hAnsi="Arial" w:cs="David"/>
                <w:sz w:val="24"/>
                <w:szCs w:val="24"/>
                <w:rtl/>
              </w:rPr>
              <w:t xml:space="preserve"> (מועד פטירת המנוחה). </w:t>
            </w:r>
          </w:p>
          <w:p w:rsidR="00872CEA" w:rsidRPr="00872CEA" w:rsidRDefault="00872CEA" w:rsidP="00872CEA">
            <w:pPr>
              <w:spacing w:line="360" w:lineRule="auto"/>
              <w:jc w:val="both"/>
              <w:rPr>
                <w:rFonts w:ascii="Arial" w:hAnsi="Arial" w:cs="David"/>
                <w:sz w:val="24"/>
                <w:szCs w:val="24"/>
              </w:rPr>
            </w:pPr>
          </w:p>
          <w:p w:rsidR="00872CEA" w:rsidRPr="00872CEA" w:rsidRDefault="00872CEA" w:rsidP="00872CEA">
            <w:pPr>
              <w:spacing w:line="360" w:lineRule="auto"/>
              <w:jc w:val="both"/>
              <w:rPr>
                <w:rFonts w:ascii="Arial" w:hAnsi="Arial" w:cs="David"/>
                <w:b/>
                <w:bCs/>
                <w:sz w:val="26"/>
                <w:szCs w:val="26"/>
                <w:u w:val="single"/>
              </w:rPr>
            </w:pPr>
            <w:r w:rsidRPr="00872CEA">
              <w:rPr>
                <w:rFonts w:ascii="Arial" w:hAnsi="Arial" w:cs="David"/>
                <w:b/>
                <w:bCs/>
                <w:sz w:val="26"/>
                <w:szCs w:val="26"/>
                <w:u w:val="single"/>
                <w:rtl/>
              </w:rPr>
              <w:lastRenderedPageBreak/>
              <w:t xml:space="preserve">תמצית הרקע הכללי והשתלשלות העניינים בהליך קמא </w:t>
            </w:r>
          </w:p>
          <w:p w:rsidR="00872CEA" w:rsidRPr="00872CEA" w:rsidRDefault="00872CEA" w:rsidP="00872CEA">
            <w:pPr>
              <w:ind w:left="720"/>
              <w:contextualSpacing/>
              <w:jc w:val="both"/>
              <w:rPr>
                <w:rFonts w:ascii="Arial" w:hAnsi="Arial" w:cs="David"/>
                <w:sz w:val="24"/>
                <w:szCs w:val="24"/>
                <w:rtl/>
              </w:rPr>
            </w:pPr>
          </w:p>
          <w:p w:rsidR="00872CEA" w:rsidRPr="00872CEA" w:rsidRDefault="00872CEA" w:rsidP="00964A32">
            <w:pPr>
              <w:spacing w:line="360" w:lineRule="auto"/>
              <w:contextualSpacing/>
              <w:jc w:val="both"/>
              <w:rPr>
                <w:rFonts w:ascii="Arial" w:hAnsi="Arial" w:cs="David"/>
                <w:sz w:val="24"/>
                <w:szCs w:val="24"/>
                <w:rtl/>
              </w:rPr>
            </w:pPr>
            <w:r w:rsidRPr="00872CEA">
              <w:rPr>
                <w:rFonts w:ascii="Arial" w:hAnsi="Arial" w:cs="David"/>
                <w:sz w:val="24"/>
                <w:szCs w:val="24"/>
                <w:rtl/>
              </w:rPr>
              <w:t xml:space="preserve">המנוחה שבכותרת -  גב' </w:t>
            </w:r>
            <w:r w:rsidR="00964A32">
              <w:rPr>
                <w:rFonts w:ascii="Arial" w:hAnsi="Arial" w:cs="David" w:hint="cs"/>
                <w:sz w:val="24"/>
                <w:szCs w:val="24"/>
                <w:rtl/>
              </w:rPr>
              <w:t>...</w:t>
            </w:r>
            <w:r w:rsidRPr="00872CEA">
              <w:rPr>
                <w:rFonts w:ascii="Arial" w:hAnsi="Arial" w:cs="David"/>
                <w:sz w:val="24"/>
                <w:szCs w:val="24"/>
                <w:rtl/>
              </w:rPr>
              <w:t xml:space="preserve"> ז"ל, הלכה לעולמה ביום </w:t>
            </w:r>
            <w:r w:rsidR="00964A32">
              <w:rPr>
                <w:rFonts w:ascii="Arial" w:hAnsi="Arial" w:cs="David" w:hint="cs"/>
                <w:sz w:val="24"/>
                <w:szCs w:val="24"/>
                <w:rtl/>
              </w:rPr>
              <w:t>...</w:t>
            </w:r>
            <w:r w:rsidRPr="00872CEA">
              <w:rPr>
                <w:rFonts w:ascii="Arial" w:hAnsi="Arial" w:cs="David"/>
                <w:sz w:val="24"/>
                <w:szCs w:val="24"/>
                <w:rtl/>
              </w:rPr>
              <w:t xml:space="preserve"> (להלן: </w:t>
            </w:r>
            <w:r w:rsidRPr="00872CEA">
              <w:rPr>
                <w:rFonts w:ascii="Arial" w:hAnsi="Arial" w:cs="David"/>
                <w:b/>
                <w:bCs/>
                <w:sz w:val="24"/>
                <w:szCs w:val="24"/>
                <w:rtl/>
              </w:rPr>
              <w:t>"המנוחה"</w:t>
            </w:r>
            <w:r w:rsidRPr="00872CEA">
              <w:rPr>
                <w:rFonts w:ascii="Arial" w:hAnsi="Arial" w:cs="David"/>
                <w:sz w:val="24"/>
                <w:szCs w:val="24"/>
                <w:rtl/>
              </w:rPr>
              <w:t xml:space="preserve">) והניחה אחריה צוואה נוטריונית מיום 28.05.2020 (להלן: </w:t>
            </w:r>
            <w:r w:rsidRPr="00872CEA">
              <w:rPr>
                <w:rFonts w:ascii="Arial" w:hAnsi="Arial" w:cs="David"/>
                <w:b/>
                <w:bCs/>
                <w:sz w:val="24"/>
                <w:szCs w:val="24"/>
                <w:rtl/>
              </w:rPr>
              <w:t>"הצוואה"</w:t>
            </w:r>
            <w:r w:rsidRPr="00872CEA">
              <w:rPr>
                <w:rFonts w:ascii="Arial" w:hAnsi="Arial" w:cs="David"/>
                <w:sz w:val="24"/>
                <w:szCs w:val="24"/>
                <w:rtl/>
              </w:rPr>
              <w:t xml:space="preserve">). המבקשת היא בת המנוחה ואילו המשיב 1 הוא חתנה, אשר התאלמן עם פטירתה המצערת של בת המנוחה – גב' </w:t>
            </w:r>
            <w:r w:rsidR="00964A32">
              <w:rPr>
                <w:rFonts w:ascii="Arial" w:hAnsi="Arial" w:cs="David" w:hint="cs"/>
                <w:sz w:val="24"/>
                <w:szCs w:val="24"/>
                <w:rtl/>
              </w:rPr>
              <w:t>...</w:t>
            </w:r>
            <w:r w:rsidRPr="00872CEA">
              <w:rPr>
                <w:rFonts w:ascii="Arial" w:hAnsi="Arial" w:cs="David"/>
                <w:sz w:val="24"/>
                <w:szCs w:val="24"/>
                <w:rtl/>
              </w:rPr>
              <w:t xml:space="preserve"> ז"ל ביום </w:t>
            </w:r>
            <w:r w:rsidR="00964A32">
              <w:rPr>
                <w:rFonts w:ascii="Arial" w:hAnsi="Arial" w:cs="David" w:hint="cs"/>
                <w:sz w:val="24"/>
                <w:szCs w:val="24"/>
                <w:rtl/>
              </w:rPr>
              <w:t>...</w:t>
            </w:r>
            <w:r w:rsidRPr="00872CEA">
              <w:rPr>
                <w:rFonts w:ascii="Arial" w:hAnsi="Arial" w:cs="David"/>
                <w:sz w:val="24"/>
                <w:szCs w:val="24"/>
                <w:rtl/>
              </w:rPr>
              <w:t>, והמשיבות 2-4 הן בנותיהן המשותפות ונכדותיה של המנוחה.</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  </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בלב המחלוקת בין הצדדים שאלת תוקפה של הצוואה, אשר המבקשת חפצה בקיומה, ואילו המשיבים מתנגדים לו.</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964A32">
            <w:pPr>
              <w:spacing w:line="360" w:lineRule="auto"/>
              <w:contextualSpacing/>
              <w:jc w:val="both"/>
              <w:rPr>
                <w:rFonts w:ascii="Arial" w:hAnsi="Arial" w:cs="David"/>
                <w:sz w:val="24"/>
                <w:szCs w:val="24"/>
                <w:rtl/>
              </w:rPr>
            </w:pPr>
            <w:r w:rsidRPr="00872CEA">
              <w:rPr>
                <w:rFonts w:ascii="Arial" w:hAnsi="Arial" w:cs="David"/>
                <w:sz w:val="24"/>
                <w:szCs w:val="24"/>
                <w:rtl/>
              </w:rPr>
              <w:t xml:space="preserve">בקליפת אגוז יאמר, כי במסגרת הצוואה הורתה המנוחה על הענקת מלוא זכויותיה במשק </w:t>
            </w:r>
            <w:r w:rsidR="00964A32">
              <w:rPr>
                <w:rFonts w:ascii="Arial" w:hAnsi="Arial" w:cs="David" w:hint="cs"/>
                <w:sz w:val="24"/>
                <w:szCs w:val="24"/>
                <w:rtl/>
              </w:rPr>
              <w:t>...</w:t>
            </w:r>
            <w:r w:rsidRPr="00872CEA">
              <w:rPr>
                <w:rFonts w:ascii="Arial" w:hAnsi="Arial" w:cs="David"/>
                <w:sz w:val="24"/>
                <w:szCs w:val="24"/>
                <w:rtl/>
              </w:rPr>
              <w:t xml:space="preserve">, על כל המיטלטלין השייכים לו ויתר הזכויות הצמודות  לו, למבקשת, לצד הוראות למבקשת לפעול בשיתוף פעולה עם המשיב 1 לשם פיצול המגרש עליו נבנה ביתם המשותף שלו ושל רעייתו המנוחה, במימון בני הזוג, כך שלאחר הפיצול יהפוך הבית לרכוש המשיב 1, ומכל מקום, וככל שלא יפעל לפיצול המגרש מן המשק, ניתנה לו הרשות להתגורר בבית עם בנותיו עד אריכות ימיו ללא תמורה; באשר לזכויותיה הכספיות הורתה המנוחה על הורשתן בחלקים שווים לשתי בנותיה, המבקשת וגב' </w:t>
            </w:r>
            <w:r w:rsidR="00964A32">
              <w:rPr>
                <w:rFonts w:ascii="Arial" w:hAnsi="Arial" w:cs="David" w:hint="cs"/>
                <w:sz w:val="24"/>
                <w:szCs w:val="24"/>
                <w:rtl/>
              </w:rPr>
              <w:t>ר.</w:t>
            </w:r>
            <w:r w:rsidRPr="00872CEA">
              <w:rPr>
                <w:rFonts w:ascii="Arial" w:hAnsi="Arial" w:cs="David"/>
                <w:sz w:val="24"/>
                <w:szCs w:val="24"/>
                <w:rtl/>
              </w:rPr>
              <w:t xml:space="preserve">, ולצאצאיות בתה המנוחה-המשיבות 2-4  כך שבנותיה תירשנה שליש מן הזכויות כל אחת ואילו המשיבות 2-4 תירשנה תשיעית מן הזכויות כל אחת; כן הורתה המנוחה על הורשת יתר נכסיה בחלקים שווים לשתי בנותיה – המבקשת וגב' </w:t>
            </w:r>
            <w:r w:rsidR="00964A32">
              <w:rPr>
                <w:rFonts w:ascii="Arial" w:hAnsi="Arial" w:cs="David" w:hint="cs"/>
                <w:sz w:val="24"/>
                <w:szCs w:val="24"/>
                <w:rtl/>
              </w:rPr>
              <w:t>ר.</w:t>
            </w:r>
            <w:r w:rsidRPr="00872CEA">
              <w:rPr>
                <w:rFonts w:ascii="Arial" w:hAnsi="Arial" w:cs="David"/>
                <w:sz w:val="24"/>
                <w:szCs w:val="24"/>
                <w:rtl/>
              </w:rPr>
              <w:t>.</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לאחר פטירת המנוחה בחודש דצמבר אשתקד, כאמור, פנתה המבקשת לרשם לענייני ירושה בבקשה לצו קיום הצוואה. המשיבים הגישו התנגדות לבקשה, וכך מצאה דרכה המחלוקת בין הצדדים אל בית המשפט קמא. </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התנגדות המשיבים לצוואה נשענת על שני אדנים עיקריים: האחד, נוגע להוראות בעניין הורשת הזכויות במשק, ויסודו, למעשה, בטענה, כי הן אינן חלק מעיזבון המנוחה משהוענקו במתנה ע"י המנוחה ובן זוגה המנוח, בהיותם בין החיים, למשיב 1 ולרעייתו המנוחה; והשני נוגע למצב המנוחה בעת עריכת הצוואה, הן בשאלת הכשרות לצוות והן בשאלת ההתחקות אחר רצונה החופשי והאם הצוואה אכן משקפת אותו.  </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964A32">
            <w:pPr>
              <w:spacing w:line="360" w:lineRule="auto"/>
              <w:contextualSpacing/>
              <w:jc w:val="both"/>
              <w:rPr>
                <w:rFonts w:ascii="Arial" w:hAnsi="Arial" w:cs="David"/>
                <w:sz w:val="24"/>
                <w:szCs w:val="24"/>
                <w:rtl/>
              </w:rPr>
            </w:pPr>
            <w:r w:rsidRPr="00872CEA">
              <w:rPr>
                <w:rFonts w:ascii="Arial" w:hAnsi="Arial" w:cs="David"/>
                <w:sz w:val="24"/>
                <w:szCs w:val="24"/>
                <w:rtl/>
              </w:rPr>
              <w:t xml:space="preserve">להשלמת התמונה יצוין, כי ביום 12.02.2003 וטרם כניסתו לתוקף של תיקון מס' 12 לחוק הירושה, ערכו המנוחה ובן זוגה המנוח – </w:t>
            </w:r>
            <w:r w:rsidR="00964A32">
              <w:rPr>
                <w:rFonts w:ascii="Arial" w:hAnsi="Arial" w:cs="David" w:hint="cs"/>
                <w:sz w:val="24"/>
                <w:szCs w:val="24"/>
                <w:rtl/>
              </w:rPr>
              <w:t>...</w:t>
            </w:r>
            <w:r w:rsidRPr="00872CEA">
              <w:rPr>
                <w:rFonts w:ascii="Arial" w:hAnsi="Arial" w:cs="David"/>
                <w:sz w:val="24"/>
                <w:szCs w:val="24"/>
                <w:rtl/>
              </w:rPr>
              <w:t xml:space="preserve"> ז"ל צוואות, הנושאות אופי של צוואות הדדיות. מר </w:t>
            </w:r>
            <w:r w:rsidR="00964A32">
              <w:rPr>
                <w:rFonts w:ascii="Arial" w:hAnsi="Arial" w:cs="David" w:hint="cs"/>
                <w:sz w:val="24"/>
                <w:szCs w:val="24"/>
                <w:rtl/>
              </w:rPr>
              <w:t>...</w:t>
            </w:r>
            <w:r w:rsidRPr="00872CEA">
              <w:rPr>
                <w:rFonts w:ascii="Arial" w:hAnsi="Arial" w:cs="David"/>
                <w:sz w:val="24"/>
                <w:szCs w:val="24"/>
                <w:rtl/>
              </w:rPr>
              <w:t xml:space="preserve"> הלך לעולמו ביום 10.05.2016, וביום 17.08.2016 ניתן ע"י הרשם לענייני ירושה צו לקיום צוואתו. </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ביום 01.07.2024 התקיימה ישיבת קדם משפט בהליך קמא במסגרתה עתרו המשיבים למינוי מומחה מתחום הפסיכו-גריאטריה, תוך שהם מבססים בקשתם גם על הטענה שהמנוחה ערכה בחייה ייפוי כוח </w:t>
            </w:r>
            <w:r w:rsidRPr="00872CEA">
              <w:rPr>
                <w:rFonts w:ascii="Arial" w:hAnsi="Arial" w:cs="David"/>
                <w:sz w:val="24"/>
                <w:szCs w:val="24"/>
                <w:rtl/>
              </w:rPr>
              <w:lastRenderedPageBreak/>
              <w:t>מתמשך, אשר נכנס לתוקף על יסוד חוות דעת שניתנה ע"י רופא פסיכו-גריאטר. המבקשת מצדה התנגדה למבוקש, כשהיא מבססת עמדתה בעיקר על הטענה, שמדובר באירועים שהתרחשו לאחר עריכת הצוואה, ומשכך אינם רלוונטיים למחלוקת בין הצדדים מושא ההליך קמא.</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לאחר הדיון ניתנה החלטה בגדרה נעתר בית המשפט לעתירת המבקשת, והורה על מינוי מומחה מתחום הפסיכו-גריאטריה. בנוסף, ובהעדר התנגדות מצד המבקשת להמצאת המסמך הרפואי שהונפק בעניין המנוחה טרם כניסת ייפוי הכוח המתמשך לתוקף, הורה לבא-כוחה להגישו  לתיק בית המשפט.</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המבקשת פעלה בהתאם להחלטה, והגישה המסמך הנדרש – תעודה רפואית שנערכה בידי רופאה גריאטרית של קופת החולים ביום 17.08.2023.</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964A32">
            <w:pPr>
              <w:spacing w:line="360" w:lineRule="auto"/>
              <w:contextualSpacing/>
              <w:jc w:val="both"/>
              <w:rPr>
                <w:rFonts w:ascii="Arial" w:hAnsi="Arial" w:cs="David"/>
                <w:sz w:val="24"/>
                <w:szCs w:val="24"/>
                <w:rtl/>
              </w:rPr>
            </w:pPr>
            <w:r w:rsidRPr="00872CEA">
              <w:rPr>
                <w:rFonts w:ascii="Arial" w:hAnsi="Arial" w:cs="David"/>
                <w:sz w:val="24"/>
                <w:szCs w:val="24"/>
                <w:rtl/>
              </w:rPr>
              <w:t>בעקבות זאת הוגשה ע"י המשיבים בקשה למתן צווים לקבלת מסמכים רפואיים בעניינה של המנוחה ממוסדות שונים בהתייחס לתקופה שמשנת 201</w:t>
            </w:r>
            <w:r w:rsidR="00964A32">
              <w:rPr>
                <w:rFonts w:ascii="Arial" w:hAnsi="Arial" w:cs="David" w:hint="cs"/>
                <w:sz w:val="24"/>
                <w:szCs w:val="24"/>
                <w:rtl/>
              </w:rPr>
              <w:t>8</w:t>
            </w:r>
            <w:r w:rsidRPr="00872CEA">
              <w:rPr>
                <w:rFonts w:ascii="Arial" w:hAnsi="Arial" w:cs="David"/>
                <w:sz w:val="24"/>
                <w:szCs w:val="24"/>
                <w:rtl/>
              </w:rPr>
              <w:t xml:space="preserve"> ועד למועד פטירת המנוחה.  </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בתגובה שהוגשה מטעמה לא התנגדה המבקשת למתן הצווים המבוקשים, אך התנתה עמדתה בשני אלה: חיוב המשיבים להגיש לתיק בית המשפט את כלל המסמכים שיתקבלו בידיהם באמצעות צווי הגילוי שיינתנו; והגבלת התקופה בגינה ייחשפו המסמכים כך שתשתרע על פני שנה אחת בלבד – זו שקדמה לעריכת הצוואה. </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לאחר שנתקבלה תגובת המבקשת, ניתנה ביום 28.07.2024 החלטה על פיה מונה ד"ר אדם דרנל, כמומחה מטעם בית המשפט, לצורך בדיקת והערכת כשרותה המשפטית והקוגניטיבית של המנוחה להבחין בטיבה של הצוואה ולעשותה. כן ניתן בגדרה צו לגילוי מסמכים בעניין המנוחה מגורמים שונים לתקופה בת שנתיים ימים עובר למועד בו חתמה על הצוואה. בהמשך ניתנה החלטה משלימה בגדרה נקבע שוב, כי צווי הגילוי שיינתנו יחולו על תקופה בת שנתיים קודם למועד עריכת הצוואה, וניתנה הוראה להגשת פסיקתות מתאימות לחתימת בית המשפט. </w:t>
            </w:r>
          </w:p>
          <w:p w:rsidR="00872CEA" w:rsidRPr="00872CEA" w:rsidRDefault="00872CEA" w:rsidP="00872CEA">
            <w:pPr>
              <w:spacing w:line="360" w:lineRule="auto"/>
              <w:ind w:left="136"/>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ביום 31.07.2024 הוגשה ע"י המשיבים בקשה לחתימה על צווי גילוי מסמכים לה צורפו ארבע פסיקתות לחתימת בית המשפט, והן נוסחו כך שתחולת צווי הגילוי של המסמכים היא לתקופה שמחודש מאי 2018 ועד לחודש דצמבר 2023 – מועד פטירת המנוחה. ביום 01.08.2024 הגישה המבקשת תגובה לבקשת המשיבים לחתימה על הפסיקתות, אשר הוכתרה כדחופה, ובגדרה התנגדה נחרצות לבקשה, עת לדידה, נוסח הפסיקתות אינו תואם את ההחלטה בעניין גילוי המסמכים, על פיה הורה בית המשפט על גילוי המסמכים הרפואיים בעניין המנוחה בהתייחס לשנתיים שקדמו ליום עשיית הצוואה. </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ביום 03.08.2024 ניתנה החלטה טכנית על פיה הפסיקתות יחתמו, וזאת בהעדר כל התייחסות למחלוקת שנתגלעה בין הצדדים בעניין תקופת חלותם של הצווים. </w:t>
            </w:r>
          </w:p>
          <w:p w:rsidR="00872CEA" w:rsidRPr="00872CEA" w:rsidRDefault="00872CEA" w:rsidP="00872CEA">
            <w:pPr>
              <w:spacing w:line="360" w:lineRule="auto"/>
              <w:ind w:left="720"/>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lastRenderedPageBreak/>
              <w:t xml:space="preserve">לפיכך, פנתה המבקשת ביום 04.08.2024 בבקשה שהוכתרה כבהולה ובה עתרה לביטול החתימה על הפסיקתות. המשיבים נדרשו להגיב לה ובנוסף הורה להם בית המשפט להימנע, בינתיים, מעשיית שימוש בפסיקתות שנחתמו על ידו, כאמור. </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לאחר שנתקבלה תגובת המשיבים ניתנה ביום 11.08.2024 ההחלטה מושא בקשת רשות הערעור שלפנינו ובה נקבע לאמור: </w:t>
            </w:r>
          </w:p>
          <w:p w:rsidR="00872CEA" w:rsidRPr="00872CEA" w:rsidRDefault="00872CEA" w:rsidP="00872CEA">
            <w:pPr>
              <w:contextualSpacing/>
              <w:rPr>
                <w:rFonts w:ascii="Arial" w:hAnsi="Arial" w:cs="David"/>
                <w:sz w:val="24"/>
                <w:szCs w:val="24"/>
                <w:rtl/>
              </w:rPr>
            </w:pPr>
          </w:p>
          <w:p w:rsidR="00872CEA" w:rsidRPr="00872CEA" w:rsidRDefault="00872CEA" w:rsidP="00872CEA">
            <w:pPr>
              <w:ind w:left="720"/>
              <w:contextualSpacing/>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w:t>
            </w:r>
            <w:r w:rsidRPr="00872CEA">
              <w:rPr>
                <w:rFonts w:ascii="Arial" w:hAnsi="Arial" w:cs="David"/>
                <w:b/>
                <w:bCs/>
                <w:sz w:val="24"/>
                <w:szCs w:val="24"/>
                <w:rtl/>
              </w:rPr>
              <w:t xml:space="preserve">משניתנה תגובת המשיבים העולה בקנה אחד עם האמור בהחלטה ולאחר ששקלתי את הדברים ובשים לב לכך שיש ממש בטענה בדבר איוע </w:t>
            </w:r>
            <w:r w:rsidRPr="00872CEA">
              <w:rPr>
                <w:rFonts w:ascii="Arial" w:hAnsi="Arial" w:cs="David"/>
                <w:sz w:val="24"/>
                <w:szCs w:val="24"/>
                <w:rtl/>
              </w:rPr>
              <w:t>(צ"ל: אירוע – פ.ג.כ)</w:t>
            </w:r>
            <w:r w:rsidRPr="00872CEA">
              <w:rPr>
                <w:rFonts w:ascii="Arial" w:hAnsi="Arial" w:cs="David"/>
                <w:b/>
                <w:bCs/>
                <w:sz w:val="24"/>
                <w:szCs w:val="24"/>
                <w:rtl/>
              </w:rPr>
              <w:t xml:space="preserve"> מאוחר שיש בו להקרין על קודמו או תחילתו ובשים לב לאופי חוות הדעת איני מוצא לעכב עוד את קבלת החומר. ברי שקבלת כל החומר הרפואי חוסה תחת חסיונו של ההליך מעצם טבעו ואין למי מהצדדים הרשות לעשות בו שימוש אלא לצרכי ההליך</w:t>
            </w:r>
            <w:r w:rsidRPr="00872CEA">
              <w:rPr>
                <w:rFonts w:ascii="Arial" w:hAnsi="Arial" w:cs="David"/>
                <w:sz w:val="24"/>
                <w:szCs w:val="24"/>
                <w:rtl/>
              </w:rPr>
              <w:t>".</w:t>
            </w:r>
          </w:p>
          <w:p w:rsidR="00872CEA" w:rsidRPr="00872CEA" w:rsidRDefault="00872CEA" w:rsidP="00872CEA">
            <w:pPr>
              <w:spacing w:line="360" w:lineRule="auto"/>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המבקשת לא השלימה עם ההחלטה והגישה בקשה לקבלת רשות לערער עליה.</w:t>
            </w:r>
          </w:p>
          <w:p w:rsidR="00872CEA" w:rsidRPr="00872CEA" w:rsidRDefault="00872CEA" w:rsidP="00872CEA">
            <w:pPr>
              <w:spacing w:line="360" w:lineRule="auto"/>
              <w:contextualSpacing/>
              <w:jc w:val="both"/>
              <w:rPr>
                <w:rFonts w:ascii="Arial" w:hAnsi="Arial" w:cs="David"/>
                <w:sz w:val="24"/>
                <w:szCs w:val="24"/>
              </w:rPr>
            </w:pPr>
            <w:r w:rsidRPr="00872CEA">
              <w:rPr>
                <w:rFonts w:ascii="Arial" w:hAnsi="Arial" w:cs="David"/>
                <w:sz w:val="24"/>
                <w:szCs w:val="24"/>
                <w:rtl/>
              </w:rPr>
              <w:t>המשיבים התבקשו להשיב עליה ועשו כן, ומכאן ההחלטה שלפנינו.</w:t>
            </w:r>
          </w:p>
          <w:p w:rsidR="00872CEA" w:rsidRDefault="00872CEA" w:rsidP="00872CEA">
            <w:pPr>
              <w:spacing w:line="360" w:lineRule="auto"/>
              <w:jc w:val="both"/>
              <w:rPr>
                <w:rFonts w:ascii="Arial" w:hAnsi="Arial" w:cs="David"/>
                <w:sz w:val="24"/>
                <w:szCs w:val="24"/>
                <w:rtl/>
              </w:rPr>
            </w:pPr>
          </w:p>
          <w:p w:rsidR="00964A32" w:rsidRPr="00872CEA" w:rsidRDefault="00964A32" w:rsidP="00872CEA">
            <w:pPr>
              <w:spacing w:line="360" w:lineRule="auto"/>
              <w:jc w:val="both"/>
              <w:rPr>
                <w:rFonts w:ascii="Arial" w:hAnsi="Arial" w:cs="David"/>
                <w:sz w:val="24"/>
                <w:szCs w:val="24"/>
              </w:rPr>
            </w:pPr>
          </w:p>
          <w:p w:rsidR="00872CEA" w:rsidRPr="00872CEA" w:rsidRDefault="00872CEA" w:rsidP="00872CEA">
            <w:pPr>
              <w:spacing w:line="360" w:lineRule="auto"/>
              <w:jc w:val="both"/>
              <w:rPr>
                <w:rFonts w:ascii="Arial" w:hAnsi="Arial" w:cs="David"/>
                <w:b/>
                <w:bCs/>
                <w:sz w:val="26"/>
                <w:szCs w:val="26"/>
                <w:u w:val="single"/>
              </w:rPr>
            </w:pPr>
            <w:r w:rsidRPr="00872CEA">
              <w:rPr>
                <w:rFonts w:ascii="Arial" w:hAnsi="Arial" w:cs="David"/>
                <w:b/>
                <w:bCs/>
                <w:sz w:val="26"/>
                <w:szCs w:val="26"/>
                <w:u w:val="single"/>
                <w:rtl/>
              </w:rPr>
              <w:t>תמצית טענות הצדדים</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u w:val="single"/>
                <w:rtl/>
              </w:rPr>
              <w:t>לטענת המבקשת</w:t>
            </w:r>
            <w:r w:rsidRPr="00872CEA">
              <w:rPr>
                <w:rFonts w:ascii="Arial" w:hAnsi="Arial" w:cs="David"/>
                <w:sz w:val="24"/>
                <w:szCs w:val="24"/>
                <w:rtl/>
              </w:rPr>
              <w:t xml:space="preserve">, ההחלטה על פיה ניתנו למוסדות הרפואיים צווים לגילוי מידע הנוגע למצבה הרפואי של המנוחה בהתייחס לתקופה בת שלוש שנים וחצי ממועד עשיית הצוואה ועד למועד פטירתה היא שגויה ופוגעת קשות וללא הצדקה בזכות היסוד של המנוחה לפרטיות ולחיסיון רפואי. לדידה, בהתאם להלכה הפסוקה, הזכות לפרטיות מוגנת גם לאחר פטירת האדם ולא רק בחייו. בדין הישראלי מוגנת זכות המנוחה לפרטיות בכל הקשור למצבה הרפואי גם באמצעות מוסד החסיונות שבדיני הראיות ולא רק באמצעות חוק הגנת הפרטיות, ותכליתה היא הגנה גם על ערכים ואינטרסים חברתיים וציבוריים. המבקשת מציינת אמנם, כי החיסיון החל על רשומות רפואיות הוא יחסי אמנם וניתן להסרה אם נמצא, שהדבר נחוץ לשם עשיית הצדק, ואינטרס זה גובר על האינטרס שבאי גילוי הרשומות הרפואיות. על בית המשפט מוטלת החובה לבחון מידת החיוניות והחשיבות של המידע הרפואי אשר גילויו מתבקש ביחס למחלוקת שבין בעלי הדין.  המבקשת מוסיפה, כי המחלוקת בין הצדדים בהליך קמא נוגעת  לכשרות המנוחה לעשות הצוואה במועד בו נעשתה, ומשכך ולצורך ההכרעה בה, המועד הקובע הוא מועד עריכת הצוואה, ולא שום מועד המאוחר לו בזמן. לפיכך, המסמכים הרפואיים הרלוונטיים הם אלה שנערכו עד למועד עריכת הצוואה ולא מעבר לכך; לשיטת המבקשת, הנימוק עליו נשענת ההחלטה מושא בקשת רשות הערעור, על פיו נעתר, למעשה, בית המשפט לבקשת המשיבים למתן צווי גילוי המשתרעים על פני תקופה בת שלוש שנים וחצי לאחר עריכת הצוואה הוא קיומה של אינדיקציה להתרחשות אירוע מאוחר שיש בו להקרין על קודמו או על תחילתו. לדידה, על המומחה להידרש לעניין זה, המצוי בתחום מומחיותו, ואין זה מתפקידו של בית המשפט; הפסיקתות שהוגשו ע"י המשיבים ונחתמו ע"י בית המשפט ביום </w:t>
            </w:r>
            <w:r w:rsidRPr="00872CEA">
              <w:rPr>
                <w:rFonts w:ascii="Arial" w:hAnsi="Arial" w:cs="David"/>
                <w:sz w:val="24"/>
                <w:szCs w:val="24"/>
                <w:rtl/>
              </w:rPr>
              <w:lastRenderedPageBreak/>
              <w:t>03.08.2024 אינן עולות בקנה אחד עם ההחלטה מיום 28.07.2024 והחתימה עליהן נעשתה בחריגה מסמכות בהעדר הלימה להוראת תקנה 133(א) לתקנות סדר הדין האזרחי. בעצם ניסוח הפסיקתות באופן בו נוסחו והגשתן לחתימת בית המשפט גרמו המשיבים, דה פקטו, לבית המשפט לשנות החלטתו מיום 28.07.2024 בלא שהגישו קודם לכן בקשה לביטולה ו/או בקשת רשות ערעור עליה ובכך זכו מן ההפקר; בנוסף טוענת המבקשת, כי מתן רשות הערעור במקרה דנא עולה בקנה אחד גם עם הוראת סעיף 52 לחוק בתי המשפט, ומשכך יש ליתן לה הרשות לערער על ההחלטה ולהורות על תיקון הפסיקתות שנחתמו, כך שתחולת צווי הגילוי תהא ביחס לתקופה בת שנתיים ימים שקדמו למועד עריכת הצוואה ועד למועד עריכתה.</w:t>
            </w:r>
          </w:p>
          <w:p w:rsidR="00872CEA" w:rsidRPr="00872CEA" w:rsidRDefault="00872CEA" w:rsidP="00872CEA">
            <w:pPr>
              <w:spacing w:line="360" w:lineRule="auto"/>
              <w:ind w:left="720"/>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Pr>
            </w:pPr>
            <w:r w:rsidRPr="00872CEA">
              <w:rPr>
                <w:rFonts w:ascii="Arial" w:hAnsi="Arial" w:cs="David"/>
                <w:sz w:val="24"/>
                <w:szCs w:val="24"/>
                <w:u w:val="single"/>
                <w:rtl/>
              </w:rPr>
              <w:t>מנגד טוענים המשיבים</w:t>
            </w:r>
            <w:r w:rsidRPr="00872CEA">
              <w:rPr>
                <w:rFonts w:ascii="Arial" w:hAnsi="Arial" w:cs="David"/>
                <w:sz w:val="24"/>
                <w:szCs w:val="24"/>
                <w:rtl/>
              </w:rPr>
              <w:t xml:space="preserve">, כי הפרשנות הניתנת על ידם להחלטה מיום 28.07.2024 היא הנכונה ומשהמותב שעל ידו היא ניתנה חתם על הפסיקתות ובכך הבהיר כוונתו, לא ברור פשרה של טענת המבקשת לפיה בית המשפט חרג מסמכותו עת חתם על הפסיקתות באופן בו נוסחו; בית המשפט קיבל את ההיגיון שמאחורי בקשת המשיבים, ומצא כי מתן חוות דעת רפואית בעניינה של המנוחה לאחר עשיית הצוואה באמצעותה נכנס לתוקף ייפוי הכוח המתמשך, הוא אירוע המקרין לאחור, ומשכך ראוי להאריך את תקופת התחולה של צווי הגילוי מעבר למועד עשיית הצוואה; לדידם,  בהחלטתו עמד בית המשפט גם על אופי חוות הדעת שעל המומחה ליתן, ושעה שהוא לא בדק את המנוחה בחייה ועליו להגיש חוות דעת הצופה פני עבר ובהסתמך על מסמכים רפואיים בלבד, ראוי להעמיד לעיונו מסמכים עד למועד פטירת המנוחה ובכך לאפשר לו לקבל התמונה המלאה בעניין מצבה הרפואי; כן נתן בית המשפט דעתו לכך שההליך המתנהל לפניו חסוי מטבעו, השימוש הבלעדי שניתן יהיה לעשות במידע הרפואי הוא במסגרת ההליך בלבד; כי בניגוד לטענת המבקשת, שיקול הדעת נתון לבית המשפט ולא למומחה, ובית המשפט אמון על מלאכת האיזון בין זכות המנוחה לפרטיות ולחיסיון רפואי ובין הצורך בעשיית צדק. בית המשפט שקל הצורך בקבלת המסמכים המאוחרים למועד עריכת הצוואה וקבע, כי נוכח חוות הדעת שניתנה ועל יסודה נכנס ייפוי הכוח המתמשך לתוקף, יש לאפשר קבלת המידע הרפואי בעניינה של המנוחה עד למועד פטירתה ולא לתחום התקופה ולהגבילה עד למועד עריכת הצוואה; כי המבקשת סומכת ידיה על טענת החיסיון בחוסר תום לב, שהרי יכול שבמסמכים הרפואיים של המנוחה המאוחרים למועד עריכת הצוואה יימצא מידע שישפוך אור גם על מצבה הרפואי ערב עשיית הצוואה; המבקשת עצמה הסכימה לחשיפת מסמך רפואי המאוחר למועד עריכת הצוואה, ובכך גילתה דעתה כי יש הצדקה לחשיפת מסמכים רפואיים המאוחרים בזמן למועד עריכת הצוואה אף במחיר של פגיעה בפרטיות המנוחה, ובכך גם מושתקת מלטעון טענותיה מכוחה של דוקטרינת ההשתק השיפוטי; מעצם העובדה שהנוטריון מצא לנכון לתעד עריכת הצוואה בסרטון וידאו ניתן ללמוד על קיומו של ספק בדבר כשרות המנוחה לצוות המצדיק אישור רפואי, ברם הצוואה אינה נתמכת בתעודה רפואית מתאימה. עובדה זו יחד עם התנגדות המבקשת לחשיפת המידע הרפואי מן התקופה שלאחר עריכת הצוואה, מטות הכף לעבר הרחבה של תקופת הגילוי למען חקר האמת; עסקינן בהחלטה שעניינה סדרי דין ואופן ניהול ההליך. בהתאם לפסיקה, אין מקום להתערב בהחלטות ממין זה אלא במקרים שבהם היא מנוגדת לדין, גורמת לעיוות דין או מקפחת זכותו של מי מהצדדים.  המקרה דנא אינו בא בגדרם של החריגים שהפסיקה מדברת בהם, ולכן יש לדחות הבקשה. </w:t>
            </w:r>
          </w:p>
          <w:p w:rsidR="00872CEA" w:rsidRPr="00872CEA" w:rsidRDefault="00872CEA" w:rsidP="00872CEA">
            <w:pPr>
              <w:spacing w:line="360" w:lineRule="auto"/>
              <w:ind w:left="360"/>
              <w:jc w:val="both"/>
              <w:rPr>
                <w:rFonts w:ascii="Arial" w:hAnsi="Arial" w:cs="David"/>
                <w:sz w:val="24"/>
                <w:szCs w:val="24"/>
              </w:rPr>
            </w:pPr>
          </w:p>
          <w:p w:rsidR="00872CEA" w:rsidRPr="00872CEA" w:rsidRDefault="00872CEA" w:rsidP="00872CEA">
            <w:pPr>
              <w:spacing w:line="360" w:lineRule="auto"/>
              <w:jc w:val="both"/>
              <w:rPr>
                <w:rFonts w:ascii="Arial" w:hAnsi="Arial" w:cs="David"/>
                <w:b/>
                <w:bCs/>
                <w:sz w:val="26"/>
                <w:szCs w:val="26"/>
                <w:u w:val="single"/>
              </w:rPr>
            </w:pPr>
            <w:r w:rsidRPr="00872CEA">
              <w:rPr>
                <w:rFonts w:ascii="Arial" w:hAnsi="Arial" w:cs="David"/>
                <w:b/>
                <w:bCs/>
                <w:sz w:val="26"/>
                <w:szCs w:val="26"/>
                <w:u w:val="single"/>
                <w:rtl/>
              </w:rPr>
              <w:t>דיון והכרעה</w:t>
            </w:r>
          </w:p>
          <w:p w:rsidR="00872CEA" w:rsidRPr="00872CEA" w:rsidRDefault="00872CEA" w:rsidP="00872CEA">
            <w:pPr>
              <w:spacing w:line="360" w:lineRule="auto"/>
              <w:contextualSpacing/>
              <w:jc w:val="both"/>
              <w:rPr>
                <w:rFonts w:ascii="Arial" w:hAnsi="Arial" w:cs="David"/>
                <w:b/>
                <w:bCs/>
                <w:sz w:val="24"/>
                <w:szCs w:val="24"/>
                <w:rtl/>
              </w:rPr>
            </w:pPr>
            <w:r w:rsidRPr="00872CEA">
              <w:rPr>
                <w:rFonts w:ascii="Arial" w:hAnsi="Arial" w:cs="David"/>
                <w:b/>
                <w:bCs/>
                <w:sz w:val="24"/>
                <w:szCs w:val="24"/>
                <w:rtl/>
              </w:rPr>
              <w:t xml:space="preserve">על יסוד תקנות 138(א)(5), 149(2)(א) ו-149(2)(ב) לתקנות סדר הדין האזרחי, תשע"ט-2018 ולאחר עיון באשר מונח לפניי ובתיקים המתנהלים בבית המשפט קמא, מצאתי ליתן למבקשת רשות לערער על ההחלטה, לדון בה כבערעור בהתאם לרשות שניתנה ולקבל הערעור - כל זאת מהנימוקים שיפורטו להלן. </w:t>
            </w:r>
          </w:p>
          <w:p w:rsidR="00872CEA" w:rsidRPr="00872CEA" w:rsidRDefault="00872CEA" w:rsidP="00872CEA">
            <w:pPr>
              <w:contextualSpacing/>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Pr>
            </w:pPr>
            <w:r w:rsidRPr="00872CEA">
              <w:rPr>
                <w:rFonts w:ascii="Arial" w:hAnsi="Arial" w:cs="David"/>
                <w:sz w:val="24"/>
                <w:szCs w:val="24"/>
                <w:rtl/>
              </w:rPr>
              <w:t xml:space="preserve">כידוע, בפסיקה הלכה והשתרשה התפיסה, על פיה השגה על החלטת ביניים של הערכאה הדיונית (בענייננו- מכוח סעיף 52(ב) לחוק בתי המשפט, התשמ"ד-1984) דינה, ככלל, להתברר במסגרת הערעור על פסק הדין. התערבות ערכאת הערעור בהחלטת ביניים תיעשה, אם כן, במשורה במקרים בהם היא עשויה להשפיע מהותית על זכויות בעל הדין, לגרום נזק ממשי או לגרום לקיומו של הליך שגוי או מיותר (ראו למשל מני רבים: רע"א 1665/15 </w:t>
            </w:r>
            <w:r w:rsidRPr="00872CEA">
              <w:rPr>
                <w:rFonts w:ascii="Arial" w:hAnsi="Arial" w:cs="David"/>
                <w:b/>
                <w:bCs/>
                <w:sz w:val="24"/>
                <w:szCs w:val="24"/>
                <w:rtl/>
              </w:rPr>
              <w:t>אטיאס נ' רוסו</w:t>
            </w:r>
            <w:r w:rsidRPr="00872CEA">
              <w:rPr>
                <w:rFonts w:ascii="Arial" w:hAnsi="Arial" w:cs="David"/>
                <w:sz w:val="24"/>
                <w:szCs w:val="24"/>
                <w:rtl/>
              </w:rPr>
              <w:t xml:space="preserve">, פורסם במאגרים האלקטרוניים; רע"א 6830/15 </w:t>
            </w:r>
            <w:r w:rsidRPr="00872CEA">
              <w:rPr>
                <w:rFonts w:ascii="Arial" w:hAnsi="Arial" w:cs="David"/>
                <w:b/>
                <w:bCs/>
                <w:sz w:val="24"/>
                <w:szCs w:val="24"/>
                <w:rtl/>
              </w:rPr>
              <w:t>פלוני נ' פלונית</w:t>
            </w:r>
            <w:r w:rsidRPr="00872CEA">
              <w:rPr>
                <w:rFonts w:ascii="Arial" w:hAnsi="Arial" w:cs="David"/>
                <w:sz w:val="24"/>
                <w:szCs w:val="24"/>
                <w:rtl/>
              </w:rPr>
              <w:t>, פורסם במאגרים האלקטרוניים).</w:t>
            </w:r>
          </w:p>
          <w:p w:rsidR="00872CEA" w:rsidRPr="00872CEA" w:rsidRDefault="00872CEA" w:rsidP="00872CEA">
            <w:pPr>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זאת ועוד, בהתאם לפסיקה, ערכאת הערעור לא תיטה להתערב בהחלטות הערכאה הדיונית בעניינים שבסדרי דין, אשר כידוע, נטועים בליבת שיקול הדעת שלה, אלא במקרים חריגים בהם החלטת הערכאה הדיונית מנוגדת לדין או גורמת לעיוות דין [ראו למשל: רע"א 624/11 </w:t>
            </w:r>
            <w:r w:rsidRPr="00872CEA">
              <w:rPr>
                <w:rFonts w:ascii="Arial" w:hAnsi="Arial" w:cs="David"/>
                <w:b/>
                <w:bCs/>
                <w:sz w:val="24"/>
                <w:szCs w:val="24"/>
                <w:rtl/>
              </w:rPr>
              <w:t>המוטרנות היוונית קתולית נ' נח'לה</w:t>
            </w:r>
            <w:r w:rsidRPr="00872CEA">
              <w:rPr>
                <w:rFonts w:ascii="Arial" w:hAnsi="Arial" w:cs="David"/>
                <w:sz w:val="24"/>
                <w:szCs w:val="24"/>
                <w:rtl/>
              </w:rPr>
              <w:t xml:space="preserve">, פורסם במאגרים האלקטרוניים; רע"א 266/88 </w:t>
            </w:r>
            <w:r w:rsidRPr="00872CEA">
              <w:rPr>
                <w:rFonts w:ascii="Arial" w:hAnsi="Arial" w:cs="David"/>
                <w:b/>
                <w:bCs/>
                <w:sz w:val="24"/>
                <w:szCs w:val="24"/>
                <w:rtl/>
              </w:rPr>
              <w:t>סאן אינטרנשיונל לימטיד נ' מדינת ישראל</w:t>
            </w:r>
            <w:r w:rsidRPr="00872CEA">
              <w:rPr>
                <w:rFonts w:ascii="Arial" w:hAnsi="Arial" w:cs="David"/>
                <w:sz w:val="24"/>
                <w:szCs w:val="24"/>
                <w:rtl/>
              </w:rPr>
              <w:t>, פ"ד מד(2) 206].</w:t>
            </w:r>
          </w:p>
          <w:p w:rsidR="00872CEA" w:rsidRPr="00872CEA" w:rsidRDefault="00872CEA" w:rsidP="00872CEA">
            <w:pPr>
              <w:contextualSpacing/>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Pr>
            </w:pPr>
            <w:r w:rsidRPr="00872CEA">
              <w:rPr>
                <w:rFonts w:ascii="Arial" w:hAnsi="Arial" w:cs="David"/>
                <w:sz w:val="24"/>
                <w:szCs w:val="24"/>
                <w:rtl/>
              </w:rPr>
              <w:t xml:space="preserve">באשר להליכי הגילוי בבתי המשפט לענייני משפחה הפסיקה ערה, כמובן, לכך שנוכח אופי הסכסוכים המתבררים בטריבונל זה, על פי רוב המסמכים שגילויים נדרש נושאים אופי אישי-אינטימי, ומשכך נדרש איזון שונה בין כלל השיקולים תוך מתן משקל הולם לזכות לפרטיות. </w:t>
            </w:r>
          </w:p>
          <w:p w:rsidR="00872CEA" w:rsidRPr="00872CEA" w:rsidRDefault="00872CEA" w:rsidP="00872CEA">
            <w:pPr>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b/>
                <w:bCs/>
                <w:sz w:val="24"/>
                <w:szCs w:val="24"/>
                <w:rtl/>
              </w:rPr>
            </w:pPr>
            <w:r w:rsidRPr="00872CEA">
              <w:rPr>
                <w:rFonts w:ascii="Arial" w:hAnsi="Arial" w:cs="David"/>
                <w:sz w:val="24"/>
                <w:szCs w:val="24"/>
                <w:rtl/>
              </w:rPr>
              <w:t xml:space="preserve">כך, למשל, נקבע </w:t>
            </w:r>
            <w:r w:rsidRPr="00872CEA">
              <w:rPr>
                <w:rFonts w:ascii="Arial" w:hAnsi="Arial" w:cs="David"/>
                <w:b/>
                <w:bCs/>
                <w:sz w:val="24"/>
                <w:szCs w:val="24"/>
                <w:u w:val="single"/>
                <w:rtl/>
              </w:rPr>
              <w:t>בפרשת בוטח</w:t>
            </w:r>
            <w:r w:rsidRPr="00872CEA">
              <w:rPr>
                <w:rFonts w:ascii="Arial" w:hAnsi="Arial" w:cs="David"/>
                <w:sz w:val="24"/>
                <w:szCs w:val="24"/>
                <w:rtl/>
              </w:rPr>
              <w:t xml:space="preserve">  אשר התבררה בבית משפט זה [רע"א (ב"ש) 2466/00 </w:t>
            </w:r>
            <w:r w:rsidRPr="00872CEA">
              <w:rPr>
                <w:rFonts w:ascii="Arial" w:hAnsi="Arial" w:cs="David"/>
                <w:b/>
                <w:bCs/>
                <w:sz w:val="24"/>
                <w:szCs w:val="24"/>
                <w:rtl/>
              </w:rPr>
              <w:t xml:space="preserve">בוטח נ' בוטח, </w:t>
            </w:r>
            <w:r w:rsidRPr="00872CEA">
              <w:rPr>
                <w:rFonts w:ascii="Arial" w:hAnsi="Arial" w:cs="David"/>
                <w:sz w:val="24"/>
                <w:szCs w:val="24"/>
                <w:rtl/>
              </w:rPr>
              <w:t xml:space="preserve">פורסם במאגרים האלקטרוניים]: </w:t>
            </w:r>
            <w:r w:rsidRPr="00872CEA">
              <w:rPr>
                <w:rFonts w:ascii="Arial" w:hAnsi="Arial" w:cs="David"/>
                <w:b/>
                <w:bCs/>
                <w:sz w:val="24"/>
                <w:szCs w:val="24"/>
                <w:rtl/>
              </w:rPr>
              <w:t xml:space="preserve">"יתכן והמחוקק רצה למנוע סירבול ההליכים ולתרום ליעילותם. בהרבה מקרים, התובענה לענייני משפחה מאופיינת בנושא הכרעה בעל חשיבות רבה, הניתנת לבירור עובדתי שאינו מורכב. הליך שהוא מעין אזרחי ולא פלילי במהותו, אך בשל עניינו דורש הכרעה מהירה. מנגנון גילוי מסמכים עשוי להכביד על ההליכים ולהאט את קיצבם. </w:t>
            </w:r>
            <w:r w:rsidRPr="00872CEA">
              <w:rPr>
                <w:rFonts w:ascii="Arial" w:hAnsi="Arial" w:cs="David"/>
                <w:b/>
                <w:bCs/>
                <w:sz w:val="24"/>
                <w:szCs w:val="24"/>
                <w:u w:val="single"/>
                <w:rtl/>
              </w:rPr>
              <w:t xml:space="preserve">שיקול נוסף, הרלוונטי לענייננו, הינו כי בענף זה של המשפט, המסמכים הינם אישיים יותר והחובה לגלות אותם פוגעת יותר בפרטיות המתדיין ועל כן איזון השיקולים נערך בצורה שונה </w:t>
            </w:r>
            <w:r w:rsidRPr="00872CEA">
              <w:rPr>
                <w:rFonts w:ascii="Arial" w:hAnsi="Arial" w:cs="David"/>
                <w:sz w:val="24"/>
                <w:szCs w:val="24"/>
                <w:u w:val="single"/>
                <w:rtl/>
              </w:rPr>
              <w:t>(ההדגשה אינה במקור – פ.ג.כ)</w:t>
            </w:r>
            <w:r w:rsidRPr="00872CEA">
              <w:rPr>
                <w:rFonts w:ascii="Arial" w:hAnsi="Arial" w:cs="David"/>
                <w:b/>
                <w:bCs/>
                <w:sz w:val="24"/>
                <w:szCs w:val="24"/>
                <w:rtl/>
              </w:rPr>
              <w:t>".</w:t>
            </w:r>
          </w:p>
          <w:p w:rsidR="00872CEA" w:rsidRPr="00872CEA" w:rsidRDefault="00872CEA" w:rsidP="00872CEA">
            <w:pPr>
              <w:contextualSpacing/>
              <w:jc w:val="both"/>
              <w:rPr>
                <w:rFonts w:ascii="Arial" w:hAnsi="Arial" w:cs="David"/>
                <w:b/>
                <w:bCs/>
                <w:sz w:val="24"/>
                <w:szCs w:val="24"/>
              </w:rPr>
            </w:pPr>
          </w:p>
          <w:p w:rsidR="00872CEA" w:rsidRPr="00872CEA" w:rsidRDefault="00872CEA" w:rsidP="00872CEA">
            <w:pPr>
              <w:contextualSpacing/>
              <w:jc w:val="both"/>
              <w:rPr>
                <w:rFonts w:ascii="Arial" w:hAnsi="Arial" w:cs="David"/>
                <w:b/>
                <w:bCs/>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עקרון השקיפות ו"המשחק בקלפים גלויים", הנוהג בדין הישראלי, ואשר הליכי גילוי המסמכים נועדו לשרת</w:t>
            </w:r>
            <w:r w:rsidR="00964A32">
              <w:rPr>
                <w:rFonts w:ascii="Arial" w:hAnsi="Arial" w:cs="David" w:hint="cs"/>
                <w:sz w:val="24"/>
                <w:szCs w:val="24"/>
                <w:rtl/>
              </w:rPr>
              <w:t>ו</w:t>
            </w:r>
            <w:r w:rsidRPr="00872CEA">
              <w:rPr>
                <w:rFonts w:ascii="Arial" w:hAnsi="Arial" w:cs="David"/>
                <w:sz w:val="24"/>
                <w:szCs w:val="24"/>
                <w:rtl/>
              </w:rPr>
              <w:t xml:space="preserve">, אינו העיקרון היחיד המתמודד בזירה וכנגדו מתמודדים עקרונות אחרים ובהם יעילות ההליך, הגנה על אינטרסים של הצד המתבקש לגלות המידע כגון הזכות לפרטיות, כבמקרה דנא, מניעת פגיעה </w:t>
            </w:r>
            <w:r w:rsidRPr="00872CEA">
              <w:rPr>
                <w:rFonts w:ascii="Arial" w:hAnsi="Arial" w:cs="David"/>
                <w:sz w:val="24"/>
                <w:szCs w:val="24"/>
                <w:rtl/>
              </w:rPr>
              <w:lastRenderedPageBreak/>
              <w:t xml:space="preserve">באינטרסים של צדדים שלישיים ועוד. פשיטא, כי האיזון ההולם ביניהם נקבע בהתאם לנסיבותיו הקונקרטיות של המקרה הנדון [רע"א 2534/02 </w:t>
            </w:r>
            <w:r w:rsidRPr="00872CEA">
              <w:rPr>
                <w:rFonts w:ascii="Arial" w:hAnsi="Arial" w:cs="David"/>
                <w:b/>
                <w:bCs/>
                <w:sz w:val="24"/>
                <w:szCs w:val="24"/>
                <w:rtl/>
              </w:rPr>
              <w:t xml:space="preserve">שמשון נ' בנק הפועלים, </w:t>
            </w:r>
            <w:r w:rsidRPr="00872CEA">
              <w:rPr>
                <w:rFonts w:ascii="Arial" w:hAnsi="Arial" w:cs="David"/>
                <w:sz w:val="24"/>
                <w:szCs w:val="24"/>
                <w:rtl/>
              </w:rPr>
              <w:t xml:space="preserve">פ"ד נו(5)193].    </w:t>
            </w:r>
          </w:p>
          <w:p w:rsidR="00872CEA" w:rsidRPr="00872CEA" w:rsidRDefault="00872CEA" w:rsidP="00872CEA">
            <w:pPr>
              <w:contextualSpacing/>
              <w:jc w:val="both"/>
              <w:rPr>
                <w:rFonts w:ascii="Arial" w:hAnsi="Arial" w:cs="David"/>
                <w:b/>
                <w:bCs/>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בפרשה זו שלפנינו נדרש בית המשפט קמא לאזן בין זכותו של אחד הצדדים לקבלת מידע, ולדידו נחוץ לעשיית הצדק וחקר האמת ובין זכות המנוחה לפרטיות, כאשר ממעל מרחפת, כמובן, שאלת הרלוונטיות של המידע אשר גילויו נתבקש לבירור המחלוקת בין הצדדים. </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צא ולמד, כי אף שלבית המשפט לענייני משפחה שיקול דעת רחב בכל הנוגע לגילוי מסמכים, אין החלטותיו חסינות מפני ביקורת שיפוטית.  </w:t>
            </w:r>
          </w:p>
          <w:p w:rsidR="00872CEA" w:rsidRPr="00872CEA" w:rsidRDefault="00872CEA" w:rsidP="00872CEA">
            <w:pPr>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cs="David"/>
                <w:noProof/>
                <w:sz w:val="24"/>
                <w:szCs w:val="24"/>
                <w:rtl/>
              </w:rPr>
              <w:t xml:space="preserve">דומה, כי אין צורך להכביר מילים בעניין חשיבותה של הזכות לפרטיות. זכות זו קשורה בקשר הדוק לכבוד האדם ולאוטונומיה שלו, והיא מאפשרת לפרט לגבש את עצמיותו ואישיותו באופן ייחודי ומובחן מסביבתו [ראו: בג"ץ 6650/04 </w:t>
            </w:r>
            <w:r w:rsidRPr="00872CEA">
              <w:rPr>
                <w:rFonts w:cs="David"/>
                <w:b/>
                <w:bCs/>
                <w:noProof/>
                <w:sz w:val="24"/>
                <w:szCs w:val="24"/>
                <w:rtl/>
              </w:rPr>
              <w:t>פלונית נ' בית הדין הרבני האיזורי בנתניה</w:t>
            </w:r>
            <w:r w:rsidRPr="00872CEA">
              <w:rPr>
                <w:rFonts w:cs="David"/>
                <w:noProof/>
                <w:sz w:val="24"/>
                <w:szCs w:val="24"/>
                <w:rtl/>
              </w:rPr>
              <w:t xml:space="preserve">, פסקה 10, פורסם במאגרים האלקטרוניים; ע"א 8483/02 </w:t>
            </w:r>
            <w:r w:rsidRPr="00872CEA">
              <w:rPr>
                <w:rFonts w:cs="David"/>
                <w:b/>
                <w:bCs/>
                <w:noProof/>
                <w:sz w:val="24"/>
                <w:szCs w:val="24"/>
                <w:rtl/>
              </w:rPr>
              <w:t>אלוניאל בע"מ נ</w:t>
            </w:r>
            <w:r w:rsidRPr="00872CEA">
              <w:rPr>
                <w:rFonts w:cs="David"/>
                <w:b/>
                <w:bCs/>
                <w:noProof/>
                <w:sz w:val="24"/>
                <w:szCs w:val="24"/>
              </w:rPr>
              <w:t xml:space="preserve">' </w:t>
            </w:r>
            <w:r w:rsidRPr="00872CEA">
              <w:rPr>
                <w:rFonts w:cs="David"/>
                <w:b/>
                <w:bCs/>
                <w:noProof/>
                <w:sz w:val="24"/>
                <w:szCs w:val="24"/>
                <w:rtl/>
              </w:rPr>
              <w:t>מקדונלד</w:t>
            </w:r>
            <w:r w:rsidRPr="00872CEA">
              <w:rPr>
                <w:rFonts w:cs="David"/>
                <w:noProof/>
                <w:sz w:val="24"/>
                <w:szCs w:val="24"/>
                <w:rtl/>
              </w:rPr>
              <w:t>, פ"ד נח(4) 314, 348]</w:t>
            </w:r>
            <w:r w:rsidRPr="00872CEA">
              <w:rPr>
                <w:rFonts w:ascii="Arial" w:hAnsi="Arial" w:cs="David"/>
                <w:sz w:val="24"/>
                <w:szCs w:val="24"/>
                <w:rtl/>
              </w:rPr>
              <w:t>.</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הזכות לפרטיות מעוגנת בדברי חקיקה שונים, ובראשם חוק הגנת הפרטיות, תשמ"א-1981. יתר על כן וכידוע, העלה אותה המחוקק על נס, ועיגנה בסעיף 7 לחוק יסוד: כבוד האדם וחירותו, כזכות יסוד הנהנית ממעמד חוקתי על-חוקי. </w:t>
            </w:r>
          </w:p>
          <w:p w:rsidR="00872CEA" w:rsidRPr="00872CEA" w:rsidRDefault="00872CEA" w:rsidP="00872CEA">
            <w:pPr>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בפסיקה הובהר, כי הזכות לפרטיות אינה פוקעת עם פטירת האדם והגם שחייו נגדעו, אין היא נגדעת עמם. כך, למשל, נקבע</w:t>
            </w:r>
            <w:r w:rsidRPr="00872CEA">
              <w:rPr>
                <w:rFonts w:ascii="Arial" w:hAnsi="Arial" w:cs="David"/>
                <w:b/>
                <w:bCs/>
                <w:sz w:val="24"/>
                <w:szCs w:val="24"/>
                <w:u w:val="single"/>
                <w:rtl/>
              </w:rPr>
              <w:t xml:space="preserve"> בעניין סקולר</w:t>
            </w:r>
            <w:r w:rsidRPr="00872CEA">
              <w:rPr>
                <w:rFonts w:ascii="Arial" w:hAnsi="Arial" w:cs="David"/>
                <w:sz w:val="24"/>
                <w:szCs w:val="24"/>
                <w:rtl/>
              </w:rPr>
              <w:t xml:space="preserve"> [רע"א 1917/92 </w:t>
            </w:r>
            <w:r w:rsidRPr="00872CEA">
              <w:rPr>
                <w:rFonts w:ascii="Arial" w:hAnsi="Arial" w:cs="David"/>
                <w:b/>
                <w:bCs/>
                <w:sz w:val="24"/>
                <w:szCs w:val="24"/>
                <w:rtl/>
              </w:rPr>
              <w:t>סקולר נ' ג'רבי</w:t>
            </w:r>
            <w:r w:rsidRPr="00872CEA">
              <w:rPr>
                <w:rFonts w:ascii="Arial" w:hAnsi="Arial" w:cs="David"/>
                <w:sz w:val="24"/>
                <w:szCs w:val="24"/>
                <w:rtl/>
              </w:rPr>
              <w:t xml:space="preserve">, פ"ד מה (5) 764] שם דובר אמנם על מידע בנקאי, אך ניתן להקיש מן הקביעות בפסק הדין, מקל וחומר, לעניין מידע רפואי: </w:t>
            </w:r>
          </w:p>
          <w:p w:rsidR="00872CEA" w:rsidRPr="00872CEA" w:rsidRDefault="00872CEA" w:rsidP="00872CEA">
            <w:pPr>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b/>
                <w:bCs/>
                <w:sz w:val="24"/>
                <w:szCs w:val="24"/>
                <w:rtl/>
              </w:rPr>
              <w:t>"... בבואנו לדון בסעיף 2(8) לחוק הגנת הפרטיות יש להסיר מיד טענה שטען בא כוחם המלומד של המבקשים והוא כי סעיף זה אינו מגן על מי שנפטר, שכן נוקט הוא לשון 'אדם' ואין לך 'אדם' אלא מי שהוא בחיים. פירוש זה, שמשמעו כי זכות הפרטיות שהיתה לאדם בחייו על פי החוק הופכת למירמס לאחר מותו – נוגד את תכלית החוק. זכות הפרטיות האמורה אינה עוברת מן העולם יחד עם בעל הזכות, והיא ממשיכה להיות מוגנת גם לאחר מותו, אלא שבמקומו של בעל הזכות 'המקורי' שעם מותו אינו כשר עוד לזכויות (ראה ס' 1 לחוק הכשרות המשפטית והאפוטרופסות, תשכ"ב – 1962) באים יורשיו תחתיו כבעלי אותה זכות שהיתה למורשם..."</w:t>
            </w:r>
            <w:r w:rsidRPr="00872CEA">
              <w:rPr>
                <w:rFonts w:ascii="Arial" w:hAnsi="Arial" w:cs="David"/>
                <w:sz w:val="24"/>
                <w:szCs w:val="24"/>
                <w:rtl/>
              </w:rPr>
              <w:t xml:space="preserve">. </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עוד מצאתי להביא, בעניין זה, את דברי כב' השופטת פרוקצ'יה ב-בע"מ 3542/04 </w:t>
            </w:r>
            <w:r w:rsidRPr="00872CEA">
              <w:rPr>
                <w:rFonts w:ascii="Arial" w:hAnsi="Arial" w:cs="David"/>
                <w:b/>
                <w:bCs/>
                <w:sz w:val="24"/>
                <w:szCs w:val="24"/>
                <w:rtl/>
              </w:rPr>
              <w:t>סלס נ' סלס</w:t>
            </w:r>
            <w:r w:rsidRPr="00872CEA">
              <w:rPr>
                <w:rFonts w:ascii="Arial" w:hAnsi="Arial" w:cs="David"/>
                <w:sz w:val="24"/>
                <w:szCs w:val="24"/>
                <w:rtl/>
              </w:rPr>
              <w:t xml:space="preserve"> (פורסם במאגרים האלקטרוניים), היפים גם לענייננו:</w:t>
            </w:r>
          </w:p>
          <w:p w:rsidR="00872CEA" w:rsidRPr="00872CEA" w:rsidRDefault="00872CEA" w:rsidP="00872CEA">
            <w:pPr>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b/>
                <w:bCs/>
                <w:sz w:val="24"/>
                <w:szCs w:val="24"/>
                <w:rtl/>
              </w:rPr>
              <w:t xml:space="preserve">"בקשה זו מעלה את שאלת האיזון בין ערך ההגנה על הפרטיות לבין אינטרס הפרט והכלל לקיים משפט – אמת, תוך חשיפת מלוא הנתונים הרלוונטיים ההכרחיים למתן הכרעה משפטית מושכלת, הנשענת על תשתית עובדתית מלאה. השאלה היכן עובר קו הגבול בין ההגנה על הערך האחד לעומת הצורך </w:t>
            </w:r>
            <w:r w:rsidRPr="00872CEA">
              <w:rPr>
                <w:rFonts w:ascii="Arial" w:hAnsi="Arial" w:cs="David"/>
                <w:b/>
                <w:bCs/>
                <w:sz w:val="24"/>
                <w:szCs w:val="24"/>
                <w:rtl/>
              </w:rPr>
              <w:lastRenderedPageBreak/>
              <w:t>בהגשמתו של הערך האחר כבר עלתה בעבר והיא אינה חדשה עימנו. חוק</w:t>
            </w:r>
            <w:r w:rsidRPr="00872CEA">
              <w:rPr>
                <w:rFonts w:ascii="Arial" w:hAnsi="Arial" w:cs="David"/>
                <w:sz w:val="24"/>
                <w:szCs w:val="24"/>
                <w:rtl/>
              </w:rPr>
              <w:t xml:space="preserve"> </w:t>
            </w:r>
            <w:r w:rsidRPr="00872CEA">
              <w:rPr>
                <w:rFonts w:ascii="Arial" w:hAnsi="Arial" w:cs="David"/>
                <w:b/>
                <w:bCs/>
                <w:sz w:val="24"/>
                <w:szCs w:val="24"/>
                <w:rtl/>
              </w:rPr>
              <w:t>יסוד כבוד האדם וחירותו, קובע בסעיף 7 את זכות היסוד של האדם לפרטיות וצנעת הפרט. סק (א) קובע כי 'כל אדם זכאי לפרטיות ולצנעת חייו' וסק (3) קובע כי 'אין פוגעים ביסוד שיחו של אדם, בכתביו או ברשומותיו'. חוק הגנת הפרטיות התשמ"א – 1981, קובע את תוכנה המפורט של זכות ההגנה על הפרטיות בקובעו כי 'לא יפגע אדם בפרטיות של זולתו ללא הסכמתו...".</w:t>
            </w:r>
            <w:r w:rsidRPr="00872CEA">
              <w:rPr>
                <w:rFonts w:ascii="Arial" w:hAnsi="Arial" w:cs="David"/>
                <w:sz w:val="24"/>
                <w:szCs w:val="24"/>
                <w:rtl/>
              </w:rPr>
              <w:t xml:space="preserve"> </w:t>
            </w:r>
          </w:p>
          <w:p w:rsidR="00872CEA" w:rsidRPr="00872CEA" w:rsidRDefault="00872CEA" w:rsidP="00872CEA">
            <w:pPr>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כידוע, בדונו בבקשה לגילוי מסמך ספציפי אשר הצד המתבקש לגלותו מתנגד לה, השאלה המרכזית שעל בית המשפט להתמודד עמה היא שאלת הרלוונטיות של המסמך הנדון להכרעה במחלוקת בין הצדדים. ברם, גם אם עלה בידי הצד המבקש גילוי המסמך לצלוח משוכה זו, לא תמה בכך מלאכת בית המשפט, ועליו לאזן בין הערכים של חקר האמת והגינות ההליך ובין הערכים עליהם נשענת ההתנגדות לגילוי המסמך, כגון הזכות לפרטיות, מניעת שימוש לרעה בהליך המשפטי, יעילות הדיון וכיו"ב.</w:t>
            </w:r>
          </w:p>
          <w:p w:rsidR="00872CEA" w:rsidRPr="00872CEA" w:rsidRDefault="00872CEA" w:rsidP="00872CEA">
            <w:pPr>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cs="David"/>
                <w:noProof/>
                <w:sz w:val="24"/>
                <w:szCs w:val="24"/>
                <w:rtl/>
              </w:rPr>
              <w:t xml:space="preserve">בענייננו, פוטנציאל הפגיעה הטמון בחשיפת הרשומות הרפואיות של המנוחה מחייב את בית המשפט לנקוט גישה זהירה ומדודה, חרף תרומתם האפשרית לחקר האמת בהליך </w:t>
            </w:r>
            <w:r w:rsidRPr="00872CEA">
              <w:rPr>
                <w:rFonts w:ascii="Arial" w:hAnsi="Arial" w:cs="David"/>
                <w:sz w:val="24"/>
                <w:szCs w:val="24"/>
                <w:rtl/>
              </w:rPr>
              <w:t>המתנהל לפניו.</w:t>
            </w:r>
          </w:p>
          <w:p w:rsidR="00872CEA" w:rsidRPr="00872CEA" w:rsidRDefault="00872CEA" w:rsidP="00872CEA">
            <w:pPr>
              <w:contextualSpacing/>
              <w:jc w:val="both"/>
              <w:rPr>
                <w:rFonts w:ascii="Arial" w:hAnsi="Arial" w:cs="David"/>
                <w:sz w:val="24"/>
                <w:szCs w:val="24"/>
                <w:rtl/>
              </w:rPr>
            </w:pPr>
          </w:p>
          <w:p w:rsidR="00872CEA" w:rsidRPr="00872CEA" w:rsidRDefault="00872CEA" w:rsidP="00872CEA">
            <w:pPr>
              <w:spacing w:line="360" w:lineRule="auto"/>
              <w:contextualSpacing/>
              <w:jc w:val="both"/>
              <w:rPr>
                <w:rFonts w:cs="David"/>
                <w:noProof/>
                <w:sz w:val="24"/>
                <w:szCs w:val="24"/>
                <w:rtl/>
              </w:rPr>
            </w:pPr>
            <w:r w:rsidRPr="00872CEA">
              <w:rPr>
                <w:rFonts w:cs="David"/>
                <w:noProof/>
                <w:sz w:val="24"/>
                <w:szCs w:val="24"/>
                <w:rtl/>
              </w:rPr>
              <w:t xml:space="preserve">בדונו בבקשה למתן צו לגילוי ולעיון במסמכים על בית המשפט לנקוט בבחינה דו-שלבית: </w:t>
            </w:r>
            <w:r w:rsidRPr="00872CEA">
              <w:rPr>
                <w:rFonts w:cs="David"/>
                <w:noProof/>
                <w:sz w:val="24"/>
                <w:szCs w:val="24"/>
                <w:u w:val="single"/>
                <w:rtl/>
              </w:rPr>
              <w:t>בשלב הראשון</w:t>
            </w:r>
            <w:r w:rsidRPr="00872CEA">
              <w:rPr>
                <w:rFonts w:cs="David"/>
                <w:noProof/>
                <w:sz w:val="24"/>
                <w:szCs w:val="24"/>
                <w:rtl/>
              </w:rPr>
              <w:t xml:space="preserve"> תיבחן רלוונטיות המסמך המבוקש לבירור המחלוקת בין הצדדים. בתוך כך, יש לבחון אם סביר להניח, כי מסמך זה כולל מידע שיקדם את בירור המחלוקת מושא התביעה הנדונה או שמא בלעדיו יימנע מבעל הדין המבקש, ולמצער יקשה עליו להוכיח טענותיו [ראו: רע"א 6546/94 </w:t>
            </w:r>
            <w:r w:rsidRPr="00872CEA">
              <w:rPr>
                <w:rFonts w:cs="David"/>
                <w:b/>
                <w:bCs/>
                <w:noProof/>
                <w:sz w:val="24"/>
                <w:szCs w:val="24"/>
                <w:rtl/>
              </w:rPr>
              <w:t>בנק איגוד לישראל בע"מ נ' אזולאי</w:t>
            </w:r>
            <w:r w:rsidRPr="00872CEA">
              <w:rPr>
                <w:rFonts w:cs="David"/>
                <w:noProof/>
                <w:sz w:val="24"/>
                <w:szCs w:val="24"/>
                <w:rtl/>
              </w:rPr>
              <w:t xml:space="preserve">, פ"ד מט(4)54, 61; ע"א 1604/19 </w:t>
            </w:r>
            <w:r w:rsidRPr="00872CEA">
              <w:rPr>
                <w:rFonts w:cs="David"/>
                <w:b/>
                <w:bCs/>
                <w:noProof/>
                <w:sz w:val="24"/>
                <w:szCs w:val="24"/>
                <w:rtl/>
              </w:rPr>
              <w:t xml:space="preserve">מדינת ישראל נ' </w:t>
            </w:r>
            <w:r w:rsidRPr="00872CEA">
              <w:rPr>
                <w:rFonts w:cs="David" w:hint="cs"/>
                <w:b/>
                <w:bCs/>
                <w:noProof/>
                <w:sz w:val="24"/>
                <w:szCs w:val="24"/>
              </w:rPr>
              <w:t xml:space="preserve"> </w:t>
            </w:r>
            <w:r w:rsidRPr="00872CEA">
              <w:rPr>
                <w:rFonts w:cs="David"/>
                <w:b/>
                <w:bCs/>
                <w:noProof/>
                <w:sz w:val="24"/>
                <w:szCs w:val="24"/>
                <w:rtl/>
              </w:rPr>
              <w:t>פלונית</w:t>
            </w:r>
            <w:r w:rsidRPr="00872CEA">
              <w:rPr>
                <w:rFonts w:cs="David"/>
                <w:noProof/>
                <w:sz w:val="24"/>
                <w:szCs w:val="24"/>
                <w:rtl/>
              </w:rPr>
              <w:t>, פסקה 6 (פורסם במאגרים האלקטרוניים)].</w:t>
            </w:r>
          </w:p>
          <w:p w:rsidR="00872CEA" w:rsidRPr="00872CEA" w:rsidRDefault="00872CEA" w:rsidP="00872CEA">
            <w:pPr>
              <w:spacing w:line="360" w:lineRule="auto"/>
              <w:contextualSpacing/>
              <w:jc w:val="both"/>
              <w:rPr>
                <w:rFonts w:cs="David"/>
                <w:noProof/>
                <w:sz w:val="24"/>
                <w:szCs w:val="24"/>
                <w:rtl/>
              </w:rPr>
            </w:pPr>
            <w:r w:rsidRPr="00872CEA">
              <w:rPr>
                <w:rFonts w:cs="David"/>
                <w:noProof/>
                <w:sz w:val="24"/>
                <w:szCs w:val="24"/>
                <w:rtl/>
              </w:rPr>
              <w:t xml:space="preserve">בהקשר זה נקבע עוד בפסיקה, כי ככלל יפורש מבחן הרלוונטיות בגמישות נוכח החשיבות הטמונה בניהול ההליך המשפטי ב"קלפים גלויים" [ראו למשל: רע"א 7802/10 </w:t>
            </w:r>
            <w:r w:rsidRPr="00872CEA">
              <w:rPr>
                <w:rFonts w:cs="David"/>
                <w:b/>
                <w:bCs/>
                <w:noProof/>
                <w:sz w:val="24"/>
                <w:szCs w:val="24"/>
                <w:rtl/>
              </w:rPr>
              <w:t>עמירם גרופ יזום והשקעות יזום והשקעות בע"מ נ' קרל אופנת גברים איכותית בע"מ</w:t>
            </w:r>
            <w:r w:rsidRPr="00872CEA">
              <w:rPr>
                <w:rFonts w:cs="David"/>
                <w:noProof/>
                <w:sz w:val="24"/>
                <w:szCs w:val="24"/>
                <w:rtl/>
              </w:rPr>
              <w:t xml:space="preserve">, פסקה 17 (פורסם במאגרים האלקטרוניים)]; </w:t>
            </w:r>
          </w:p>
          <w:p w:rsidR="00872CEA" w:rsidRPr="00872CEA" w:rsidRDefault="00872CEA" w:rsidP="00872CEA">
            <w:pPr>
              <w:spacing w:line="360" w:lineRule="auto"/>
              <w:contextualSpacing/>
              <w:jc w:val="both"/>
              <w:rPr>
                <w:rFonts w:ascii="Arial" w:hAnsi="Arial" w:cs="David"/>
                <w:sz w:val="24"/>
                <w:szCs w:val="24"/>
                <w:rtl/>
              </w:rPr>
            </w:pPr>
            <w:r w:rsidRPr="00872CEA">
              <w:rPr>
                <w:rFonts w:cs="David"/>
                <w:noProof/>
                <w:sz w:val="24"/>
                <w:szCs w:val="24"/>
                <w:u w:val="single"/>
                <w:rtl/>
              </w:rPr>
              <w:t>בשלב השני</w:t>
            </w:r>
            <w:r w:rsidRPr="00872CEA">
              <w:rPr>
                <w:rFonts w:cs="David"/>
                <w:noProof/>
                <w:sz w:val="24"/>
                <w:szCs w:val="24"/>
                <w:rtl/>
              </w:rPr>
              <w:t xml:space="preserve">, ובכפוף לכך שהבקשה צלחה את השלב הראשון, נדרש בית המשפט לאזן בין מידת התרומה  של המסמך המבוקש לבירור המחלוקת בין הצדדים ובין האינטרסים הנוגדים. בתוך כך יש ליתן הדעת להשפעתו האפשרית של צו הגילוי והעיון על יעילות ההליך המשפטי, למידת ההכבדה שעלול לגרום הצו לבעל הדין כלפיו הוא מופנה, ולאפשרות שחשיפת המסמך המבוקש תפגע בזכויות מוגנות ובאינטרסים לגיטימיים של מי מבעלי הדין או של צדדים שלישיים [ראו למשל: רע"א 3860/16 </w:t>
            </w:r>
            <w:r w:rsidRPr="00872CEA">
              <w:rPr>
                <w:rFonts w:cs="David"/>
                <w:b/>
                <w:bCs/>
                <w:noProof/>
                <w:sz w:val="24"/>
                <w:szCs w:val="24"/>
                <w:rtl/>
              </w:rPr>
              <w:t>וויספרס לאנז'רה בע"מ נ' אלרוב אזור מסחר ממילא</w:t>
            </w:r>
            <w:r w:rsidRPr="00872CEA">
              <w:rPr>
                <w:rFonts w:cs="David"/>
                <w:noProof/>
                <w:sz w:val="24"/>
                <w:szCs w:val="24"/>
                <w:rtl/>
              </w:rPr>
              <w:t xml:space="preserve"> (</w:t>
            </w:r>
            <w:r w:rsidRPr="00872CEA">
              <w:rPr>
                <w:rFonts w:cs="David"/>
                <w:b/>
                <w:bCs/>
                <w:noProof/>
                <w:sz w:val="24"/>
                <w:szCs w:val="24"/>
                <w:rtl/>
              </w:rPr>
              <w:t>1993)</w:t>
            </w:r>
            <w:r w:rsidRPr="00872CEA">
              <w:rPr>
                <w:rFonts w:cs="David" w:hint="cs"/>
                <w:b/>
                <w:bCs/>
                <w:noProof/>
                <w:sz w:val="24"/>
                <w:szCs w:val="24"/>
              </w:rPr>
              <w:t xml:space="preserve"> </w:t>
            </w:r>
            <w:r w:rsidRPr="00872CEA">
              <w:rPr>
                <w:rFonts w:cs="David"/>
                <w:b/>
                <w:bCs/>
                <w:noProof/>
                <w:sz w:val="24"/>
                <w:szCs w:val="24"/>
                <w:rtl/>
              </w:rPr>
              <w:t>בע"מ</w:t>
            </w:r>
            <w:r w:rsidRPr="00872CEA">
              <w:rPr>
                <w:rFonts w:cs="David"/>
                <w:noProof/>
                <w:sz w:val="24"/>
                <w:szCs w:val="24"/>
                <w:rtl/>
              </w:rPr>
              <w:t xml:space="preserve">, פסקה 8 (פורסם במאגרים האלקטרוניים)]. </w:t>
            </w:r>
          </w:p>
          <w:p w:rsidR="00872CEA" w:rsidRPr="00872CEA" w:rsidRDefault="00872CEA" w:rsidP="00872CEA">
            <w:pPr>
              <w:spacing w:line="360" w:lineRule="auto"/>
              <w:contextualSpacing/>
              <w:jc w:val="both"/>
              <w:rPr>
                <w:rFonts w:cs="David"/>
                <w:noProof/>
                <w:sz w:val="24"/>
                <w:szCs w:val="24"/>
                <w:rtl/>
              </w:rPr>
            </w:pPr>
            <w:r w:rsidRPr="00872CEA">
              <w:rPr>
                <w:rFonts w:cs="David"/>
                <w:noProof/>
                <w:sz w:val="24"/>
                <w:szCs w:val="24"/>
                <w:rtl/>
              </w:rPr>
              <w:t xml:space="preserve">אינטרס נגדי שכיח המתעורר במסגרת האיזון שעל בית המשפט לערוך בשלב השני הוא פגיעה בזכות לפרטיות, בין אם של מי מבעלי הדין ובין אם של צד שלישי כלשהו, אשר עלולה להיגרם כתוצאה מחשיפת מידע המצוי במסמך שמבוקש לגלותו ולעיין בו. </w:t>
            </w:r>
          </w:p>
          <w:p w:rsidR="00872CEA" w:rsidRPr="00872CEA" w:rsidRDefault="00872CEA" w:rsidP="00872CEA">
            <w:pPr>
              <w:spacing w:line="360" w:lineRule="auto"/>
              <w:contextualSpacing/>
              <w:jc w:val="both"/>
              <w:rPr>
                <w:rFonts w:cs="David"/>
                <w:noProof/>
                <w:sz w:val="24"/>
                <w:szCs w:val="24"/>
                <w:rtl/>
              </w:rPr>
            </w:pPr>
            <w:r w:rsidRPr="00872CEA">
              <w:rPr>
                <w:rFonts w:cs="David"/>
                <w:noProof/>
                <w:sz w:val="24"/>
                <w:szCs w:val="24"/>
                <w:rtl/>
              </w:rPr>
              <w:t xml:space="preserve">במקרה בו מתעורר חשש לפגיעה מעין זו ולאור מעמדה החוקתי של הזכות לפרטיות, נקבעה בפסיקה נוסחת איזון ייחודית המשקפת, למעשה, את מבחן המידתיות שבפסקת ההגבלה בחוק יסוד: כבוד האדם וחירותו [ראו: בע"מ 3542/04 </w:t>
            </w:r>
            <w:r w:rsidRPr="00872CEA">
              <w:rPr>
                <w:rFonts w:cs="David"/>
                <w:b/>
                <w:bCs/>
                <w:noProof/>
                <w:sz w:val="24"/>
                <w:szCs w:val="24"/>
                <w:rtl/>
              </w:rPr>
              <w:t>פלוני נ' פלונית</w:t>
            </w:r>
            <w:r w:rsidRPr="00872CEA">
              <w:rPr>
                <w:rFonts w:cs="David"/>
                <w:noProof/>
                <w:sz w:val="24"/>
                <w:szCs w:val="24"/>
                <w:rtl/>
              </w:rPr>
              <w:t xml:space="preserve">, פסקה 10 (פורסם במאגרים האלקטרוניים)]. </w:t>
            </w:r>
          </w:p>
          <w:p w:rsidR="00872CEA" w:rsidRPr="00872CEA" w:rsidRDefault="00872CEA" w:rsidP="00872CEA">
            <w:pPr>
              <w:spacing w:line="360" w:lineRule="auto"/>
              <w:contextualSpacing/>
              <w:jc w:val="both"/>
              <w:rPr>
                <w:rFonts w:ascii="Arial" w:hAnsi="Arial" w:cs="David"/>
                <w:sz w:val="24"/>
                <w:szCs w:val="24"/>
                <w:rtl/>
              </w:rPr>
            </w:pPr>
            <w:r w:rsidRPr="00872CEA">
              <w:rPr>
                <w:rFonts w:cs="David"/>
                <w:noProof/>
                <w:sz w:val="24"/>
                <w:szCs w:val="24"/>
                <w:rtl/>
              </w:rPr>
              <w:lastRenderedPageBreak/>
              <w:t xml:space="preserve">במסגרת זו, יש לבחון אם קיימת תשתית עובדתית לכאורית המלמדת על צורך ממשי לגילוי הפרטים שבמסמך המבוקש לשם הכרעה במחלוקת שבין הצדדים; אם ישנן חלופות לחשיפת המידע אשר עשויות לייתר או לצמצם את הפגיעה בזכות לפרטיות, כגון בירור המחלוקת באמצעות ראיות אחרות; אם הפגיעה בזכות לפרטיות היא הפגיעה המינימלית ההכרחית בנסיבות העניין; ואם יש מקום לבכר את הצורך הממשי בגילוי המסמך, על פני הפגיעה בפרטיות אשר כרוכה בגילויו (ראו: בע"מ 6169/17 </w:t>
            </w:r>
            <w:r w:rsidRPr="00872CEA">
              <w:rPr>
                <w:rFonts w:cs="David"/>
                <w:b/>
                <w:bCs/>
                <w:noProof/>
                <w:sz w:val="24"/>
                <w:szCs w:val="24"/>
                <w:rtl/>
              </w:rPr>
              <w:t>פלונית נ' פלוני</w:t>
            </w:r>
            <w:r w:rsidRPr="00872CEA">
              <w:rPr>
                <w:rFonts w:cs="David"/>
                <w:noProof/>
                <w:sz w:val="24"/>
                <w:szCs w:val="24"/>
                <w:rtl/>
              </w:rPr>
              <w:t xml:space="preserve">, פסקה 13 (14.09.2017). </w:t>
            </w:r>
          </w:p>
          <w:p w:rsidR="00872CEA" w:rsidRPr="00872CEA" w:rsidRDefault="00872CEA" w:rsidP="00872CEA">
            <w:pPr>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b/>
                <w:bCs/>
                <w:sz w:val="24"/>
                <w:szCs w:val="24"/>
                <w:u w:val="single"/>
              </w:rPr>
            </w:pPr>
            <w:r w:rsidRPr="00872CEA">
              <w:rPr>
                <w:rFonts w:ascii="Arial" w:hAnsi="Arial" w:cs="David"/>
                <w:b/>
                <w:bCs/>
                <w:sz w:val="24"/>
                <w:szCs w:val="24"/>
                <w:u w:val="single"/>
                <w:rtl/>
              </w:rPr>
              <w:t>ומן הכלל אל הפרט</w:t>
            </w:r>
          </w:p>
          <w:p w:rsidR="00872CEA" w:rsidRPr="00872CEA" w:rsidRDefault="00872CEA" w:rsidP="00872CEA">
            <w:pPr>
              <w:spacing w:line="360" w:lineRule="auto"/>
              <w:contextualSpacing/>
              <w:jc w:val="both"/>
              <w:rPr>
                <w:rFonts w:ascii="Arial" w:hAnsi="Arial" w:cs="David"/>
                <w:sz w:val="24"/>
                <w:szCs w:val="24"/>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כזכור, במקרה שלפנינו עותרים המשיבים לקבלת רשומות רפואיות של המנוחה בהתייחס לתקופה המאוחרת למועד בו עשתה הצוואה, וליתר דיוק, גם לתקופה שממועד עריכת הצוואה ועד למועד פטירתה, כאשר בהתייחס לצו הגילוי שניתן בנוגע לתקופה שקדמה למועד עריכת הצוואה אין המבקשת קובלת.</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עניין לנו, אפוא, בעתירה גורפת לחשיפת מלוא המידע הרפואי והאישי של המנוחה, המוחזק בידי ארבעה מוסדות שונים ובהתייחס לתקופה ארוכה בת שלוש שנים וחצי מהמועד בו עשתה הצוואה ועד למועד פטירתה. </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משהמחלוקת הנטושה בין הצדדים נוגעת, כזכור, לתוקפה של הצוואה, וחשיפת המסמכים הרפואיים בעניינה של המנוחה נדרשת על מנת להתחקות אחר מצבה הקוגנטיבי והשלכותיו על כשרותה לצוות, הרי שהמידע הרלוונטי לצורך ההכרעה במחלוקת האמורה נוגע לתקופה שקדמה בזמן לעריכת הצוואה. </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זהו כללם של הדברים. הגיונם ברור לכל, ואין צורך להכביר מילים בדבר.</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נהיר, אפוא, כי הנטל הרובץ לפתחו של בעל דין המבקש חשיפת מידע רפואי הנוגע לתקופה שלאחר עריכת הצוואה הוא מוגבר, הן משום שמבקש הוא לסטות מן הכלל והן משום הפגיעה הגלומה בכך בפרטיות עורך הצוואה, בפרט משאינו עוד בין החיים ואינו יכול להגן בעצמו על זכותו לפרטיות. </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שומה, אפוא, על בית המשפט הנדרש לבקשה מעין זו לעמוד על המשמר, לבחון אותה בקפידה, ולוודא כי אכן עלה בידי מגישה לעמוד בנטל המוגבר המוטל עליו, כאמור.</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בענייננו באתי לכלל מסקנה, כי לא עלה בידי המשיבים להרים נטל זה, כי לא היה מקום להיעתר לבקשתם, וכי בשים לב לחשיבות הזכות לפרטיות, למעמדה החוקתי וליתר נסיבות המקרה שלפנינו, אף שמדובר בהחלטת ביניים שעניינה, לכאורה, סדרי דין, יש להתערב בהחלטה הנעתרת לבקשתם.</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המשיבים סומכים ידיהם על תעודה רפואית שניתנה בעניינה של המנוחה (ולא חוות דעת כמשמעותה בדיני הראיות) כשלוש שנים ורבע לאחר עריכת הצוואה בהיותה בת 86 שנים. </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lastRenderedPageBreak/>
              <w:t>מן התעודה הרפואית עולה, כי הירידה הקוגנטיבית ממנה סבלה המנוחה החלה כמחצית השנה טרם הנפקת התעודה, דהיינו בחודש פברואר 2023 בעוד שהצוואה נערכה בחודש מאי 2020.</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המשיבים לא הניחו, אפוא, תשתית ראייתית מספקת לביסוס בקשתם, גם אם התשתית הראייתית הנדרשת היא לכאורית בלבד.</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הנימוק המרכזי עליו מבוססת ההחלטה מושא הבקשה שלפנינו הוא, קיומו של אירוע מאוחר שעשוי להקרין על קודמו ובכך להצדיק חשיפת הרשומות הרפואיות של המנוחה עד למועד פטירתה ולא עד למועד עריכת הצוואה.</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נראה, כי כוונת בית המשפט הייתה, לכניסת ייפוי הכוח המתמשך שערכה המנוחה לתוקף בחודשי חייה האחרונים נוכח ההתדרדרות במצבה הקוגנטיבי, ועשוי, לטעמו, להשליך על ההכרעה בעניין מצבה הקוגנטיבי עובר לעריכת הצוואה.</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במישור העובדתי יש לזכור, כי התעודה הרפואית הונפקה כשלושה חודשים וחצי (!) טרם פטירת המנוחה, וניתן אכן להניח שבחודשים האחרונים לחייה התדרדר מצבה הקוגנטיבי של המנוחה, בפרט עת עניין לנו באישה מבוגרת שהייתה אז במחצית השנייה לעשור התשיעי לחייה; יתר על כן, מהתעודה הרפואית עצמה עולה, כאמור, שההתדרדרות האמורה החלה בסביבות חודש פברואר 2023. הנה כי כן, המסקנה לפיה יש לראות באירועים הללו, שראשיתם סביב חודש פברואר 2023 וסופם עם פטירת המנוחה בחודש דצמבר 2023 כדי להשליך על בחינת מצבה הקוגנטיבי בחודש מאי 2020, היא מרחיקת לכת.</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לדברים האמורים משנה תוקף בפרט על רקע החלטתו הקודמת של בית המשפט קמא מיום 28.07.2024 על פיה תחולת הצווים לגילוי הרשומות הרפואיות של המנוחה תהא לתקופה בת שנתיים ימים עובר למועד עריכת הצוואה (סעיף 5 להחלטה).     </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בנדון דידן יוער, כי שינוי ההחלטה אגב החתימה על הצווים לגילוי המידע מחייב, לכל הפחות, הנמקה מספקת, בפרט כשעל הכף מונחת זכות המנוחה לפרטיות, ובנוסף לכל האמור לעיל ומבלי לגרוע הימנו יובהר, כי באופן בו נומקה ההחלטה מושא בקשת רשות הערעור ובראי הנסיבות האופפות מקרה זה שלפנינו, לרבות תוכנה של התעודה הרפואית, לא יצא בית המשפט ידי חובת ההנמקה המוטלת עליו.</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    </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בהקשר זה יוער, כי מצאתי טעם לפגם בהתנהלות המשיבים, אשר חרף ההוראה המפורשת בהחלטה מיום 28.07.2024, הגישו פסיקתות לחתימת בית המשפט על פיהן משתרעת תקופת חלותם של צווי הגילוי עד למועד פטירת המנוחה ולא עד למועד עריכת הצוואה, התנהלות המדיפה ריח של ניסיון לבצע מחטף, שלבסוף גם צלח בערכאה דלמטה.    </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lastRenderedPageBreak/>
              <w:t>במישור הנורמטיבי עולה, אפוא,  מן האמור, כי אין בניסיון המשיבים לשנות ההחלטה המקורית ולהאריך תקופת חלותם של צווי הגילוי, זולת האופן בו בחרו לעשות זאת – "בדלת האחורית" ולא באמצעות השגה על ההחלטה מיום 28.07.2024, כדי לצלוח את הבחינה הדו-שלבית שהובאה לעיל.</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ודוק, ספק אם המידע הרפואי שהצטבר בענייניה של המנוחה לאחר עריכת הצוואה רלוונטי להערכת מצבה הקוגנטיבי עובר לעריכתה, בפרט עת הבקשה לחשפו נשענת על מסמך רפואי שהונפק כשלוש שנים ורבע לאחר עריכת הצוואה ושלושה חודשים וחצי טרם פטירתה. הדעת נותנת, כי בגילה של המנוחה אותה עת, תכנו של המסמך רלוונטי יותר להערכת מצבה עובר לפטירתה מאשר לזה שהיה ערב עשיית הצוואה על ידה.</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יתר על כן, מעיון בטענות המשיבים עולה, כי עמידתם על קבלת המידע הרפואי בעניין המנוחה הנוגע לתקופה שלאחר עריכת הצוואה נשענת יותר על הנחות והשערות מאשר על מידע מוצק, ולמצער </w:t>
            </w:r>
            <w:r w:rsidR="00964A32">
              <w:rPr>
                <w:rFonts w:ascii="Arial" w:hAnsi="Arial" w:cs="David" w:hint="cs"/>
                <w:sz w:val="24"/>
                <w:szCs w:val="24"/>
                <w:rtl/>
              </w:rPr>
              <w:t xml:space="preserve">אין היא נשענת </w:t>
            </w:r>
            <w:r w:rsidRPr="00872CEA">
              <w:rPr>
                <w:rFonts w:ascii="Arial" w:hAnsi="Arial" w:cs="David"/>
                <w:sz w:val="24"/>
                <w:szCs w:val="24"/>
                <w:rtl/>
              </w:rPr>
              <w:t xml:space="preserve">על אינדיקציה של ממש בדבר רלוונטיות המסמכים שחשיפתם מתבקשת להכרעה במחלוקת בין הצדדים, המצדיקה חשיפתם (כעולה, למשל, מסעיף 31 לתגובה לבקשת רשות הערעור).     </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זהו המקום להזכיר, כי אחד השיקולים שעל בית המשפט להביא בחשבון בכגון דא הוא מניעת השימוש בהליך המשפטי לטובת "דיג" ראיות.</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 </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גם אם נניח לצורך הדיון בלבד, כי היות שמדובר במידע אשר אינו מצוי בידי הצדדים ומשכך ראוי להגמיש ולרכך מבחן הרלוונטיות, הרי שבשים לב להיקף המידע המבוקש, נראה כי הבקשה לחשפו אינה מידתית, נוכח הפגיעה הגלומה בה בפרטיות המנוחה ונוכח התכלית שלשמה מתבקשת חשיפתו, ובכך אינה עולה בקנה אחד עם המבחנים בפסקת ההגבלה שבחוק יסוד: כבוד האדם וחירותו.      </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כידוע, עקרון המידתיות מחייב נקיטה באמצעי שפגיעתו בזכות היסוד היא מינימלית.   </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 xml:space="preserve">כשם שנטען ע"י המבקשת ובצדק, ככל שהמשיבים סבורים שיש בהתדרדרות הקוגנטיבית של המנוחה בשנת 2023 במלאת לה 86 שנים כדי ללמד על מצבה הקוגנטיבי באמצע שנת 2020, מן הראוי להעמיד זאת תחילה לבחינת המומחה ולא לדרוש גילוי גורף של כלל המידע הרפואי של המנוחה בתקופה זו. </w:t>
            </w:r>
          </w:p>
          <w:p w:rsidR="00872CEA" w:rsidRPr="00872CEA" w:rsidRDefault="00872CEA" w:rsidP="00872CEA">
            <w:pPr>
              <w:spacing w:line="360" w:lineRule="auto"/>
              <w:contextualSpacing/>
              <w:jc w:val="both"/>
              <w:rPr>
                <w:rFonts w:cs="David"/>
                <w:noProof/>
                <w:sz w:val="24"/>
                <w:szCs w:val="24"/>
                <w:rtl/>
              </w:rPr>
            </w:pPr>
          </w:p>
          <w:p w:rsidR="00872CEA" w:rsidRPr="00872CEA" w:rsidRDefault="00872CEA" w:rsidP="00872CEA">
            <w:pPr>
              <w:spacing w:line="360" w:lineRule="auto"/>
              <w:contextualSpacing/>
              <w:jc w:val="both"/>
              <w:rPr>
                <w:rFonts w:cs="David"/>
                <w:noProof/>
                <w:sz w:val="24"/>
                <w:szCs w:val="24"/>
                <w:rtl/>
              </w:rPr>
            </w:pPr>
            <w:r w:rsidRPr="00872CEA">
              <w:rPr>
                <w:rFonts w:cs="David"/>
                <w:noProof/>
                <w:sz w:val="24"/>
                <w:szCs w:val="24"/>
                <w:rtl/>
              </w:rPr>
              <w:t>אכן וכשם שציין בית המשפט קמא, ההליכים בבית המשפט לענייני משפחה חסויים, ברם גם חשיפת כלל המידע הרפואי בעניינה של המנוחה אשר הצטבר בארבעה מוסדות שונים בשלוש וחצי השנים האחרונות לחייה לעיניי בני משפחתה הנצים בהליך, באי כוחם ובית המשפט פוגעת בזכותה לפרטיות, ומשעה שמרחף ספק מעל הרלוונטיות שיש למידע זה להכרעה במחלוקת בין בני משפחתה, הרי שעל אחת כמה וכמה יש להבטיח ההגנה על פרטיותה.</w:t>
            </w:r>
          </w:p>
          <w:p w:rsidR="00872CEA" w:rsidRPr="00872CEA" w:rsidRDefault="00872CEA" w:rsidP="00872CEA">
            <w:pPr>
              <w:spacing w:line="360" w:lineRule="auto"/>
              <w:contextualSpacing/>
              <w:jc w:val="both"/>
              <w:rPr>
                <w:rFonts w:cs="David"/>
                <w:noProof/>
                <w:sz w:val="24"/>
                <w:szCs w:val="24"/>
                <w:rtl/>
              </w:rPr>
            </w:pPr>
          </w:p>
          <w:p w:rsidR="00872CEA" w:rsidRPr="00872CEA" w:rsidRDefault="00872CEA" w:rsidP="00872CEA">
            <w:pPr>
              <w:spacing w:line="360" w:lineRule="auto"/>
              <w:contextualSpacing/>
              <w:jc w:val="both"/>
              <w:rPr>
                <w:rFonts w:cs="David"/>
                <w:noProof/>
                <w:sz w:val="24"/>
                <w:szCs w:val="24"/>
                <w:rtl/>
              </w:rPr>
            </w:pPr>
            <w:r w:rsidRPr="00872CEA">
              <w:rPr>
                <w:rFonts w:cs="David"/>
                <w:noProof/>
                <w:sz w:val="24"/>
                <w:szCs w:val="24"/>
                <w:rtl/>
              </w:rPr>
              <w:t xml:space="preserve">טרם נעילה יובהר, כי לא מצאתי ממש בטענות המשיבים לפיהן העדר התנגדות מצד המבקשת להגשת התעודה הרפואית לתיק בית המשפט מלמדת על הסכמה שלה לחשיפת כלל המידע הרפואי של המנוחה בשלוש וחצי השנים האחרונות לחייה, והיא מושתקת מלטעון אחרת – טענות אשר מוטב היה אלמלא נטענו. </w:t>
            </w:r>
          </w:p>
          <w:p w:rsidR="00872CEA" w:rsidRPr="00872CEA" w:rsidRDefault="00872CEA" w:rsidP="00872CEA">
            <w:pPr>
              <w:spacing w:line="360" w:lineRule="auto"/>
              <w:contextualSpacing/>
              <w:jc w:val="both"/>
              <w:rPr>
                <w:rFonts w:cs="David"/>
                <w:noProof/>
                <w:sz w:val="24"/>
                <w:szCs w:val="24"/>
                <w:rtl/>
              </w:rPr>
            </w:pPr>
          </w:p>
          <w:p w:rsidR="00872CEA" w:rsidRPr="00872CEA" w:rsidRDefault="00872CEA" w:rsidP="00872CEA">
            <w:pPr>
              <w:spacing w:line="360" w:lineRule="auto"/>
              <w:contextualSpacing/>
              <w:jc w:val="both"/>
              <w:rPr>
                <w:rFonts w:ascii="Arial" w:hAnsi="Arial" w:cs="David"/>
                <w:b/>
                <w:bCs/>
                <w:sz w:val="24"/>
                <w:szCs w:val="24"/>
                <w:rtl/>
              </w:rPr>
            </w:pPr>
            <w:r w:rsidRPr="00872CEA">
              <w:rPr>
                <w:rFonts w:ascii="Arial" w:hAnsi="Arial" w:cs="David"/>
                <w:b/>
                <w:bCs/>
                <w:sz w:val="24"/>
                <w:szCs w:val="24"/>
                <w:rtl/>
              </w:rPr>
              <w:t xml:space="preserve">על יסוד כל האמור לעיל מצאתי, כי לא היה מקום לשנות ההחלטה מיום 28.07.2024, וודאי לא באופן בו נעשה הדבר, וכי אין להורות על חשיפת המידע הרפואי בעניין המנוחה בהתייחס לתקופה שלאחר עריכת הצוואה. </w:t>
            </w:r>
          </w:p>
          <w:p w:rsidR="00872CEA" w:rsidRPr="00872CEA" w:rsidRDefault="00872CEA" w:rsidP="00872CEA">
            <w:pPr>
              <w:spacing w:line="360" w:lineRule="auto"/>
              <w:contextualSpacing/>
              <w:jc w:val="both"/>
              <w:rPr>
                <w:rFonts w:ascii="Arial" w:hAnsi="Arial" w:cs="David"/>
                <w:b/>
                <w:bCs/>
                <w:sz w:val="24"/>
                <w:szCs w:val="24"/>
                <w:rtl/>
              </w:rPr>
            </w:pPr>
          </w:p>
          <w:p w:rsidR="00872CEA" w:rsidRPr="00872CEA" w:rsidRDefault="00872CEA" w:rsidP="00872CEA">
            <w:pPr>
              <w:spacing w:line="360" w:lineRule="auto"/>
              <w:contextualSpacing/>
              <w:jc w:val="both"/>
              <w:rPr>
                <w:rFonts w:ascii="Arial" w:hAnsi="Arial" w:cs="David"/>
                <w:b/>
                <w:bCs/>
                <w:sz w:val="24"/>
                <w:szCs w:val="24"/>
                <w:rtl/>
              </w:rPr>
            </w:pPr>
            <w:r w:rsidRPr="00872CEA">
              <w:rPr>
                <w:rFonts w:ascii="Arial" w:hAnsi="Arial" w:cs="David"/>
                <w:b/>
                <w:bCs/>
                <w:sz w:val="24"/>
                <w:szCs w:val="24"/>
                <w:rtl/>
              </w:rPr>
              <w:t>לפיכך, ההחלטה מיום 11.08.2024 מבוטלת.</w:t>
            </w:r>
          </w:p>
          <w:p w:rsidR="00872CEA" w:rsidRPr="00872CEA" w:rsidRDefault="00872CEA" w:rsidP="00872CEA">
            <w:pPr>
              <w:spacing w:line="360" w:lineRule="auto"/>
              <w:contextualSpacing/>
              <w:jc w:val="both"/>
              <w:rPr>
                <w:rFonts w:ascii="Arial" w:hAnsi="Arial" w:cs="David"/>
                <w:b/>
                <w:bCs/>
                <w:sz w:val="24"/>
                <w:szCs w:val="24"/>
                <w:rtl/>
              </w:rPr>
            </w:pPr>
          </w:p>
          <w:p w:rsidR="00872CEA" w:rsidRPr="00872CEA" w:rsidRDefault="00872CEA" w:rsidP="00872CEA">
            <w:pPr>
              <w:spacing w:line="360" w:lineRule="auto"/>
              <w:contextualSpacing/>
              <w:jc w:val="both"/>
              <w:rPr>
                <w:rFonts w:ascii="Arial" w:hAnsi="Arial" w:cs="David"/>
                <w:b/>
                <w:bCs/>
                <w:sz w:val="24"/>
                <w:szCs w:val="24"/>
                <w:rtl/>
              </w:rPr>
            </w:pPr>
            <w:r w:rsidRPr="00872CEA">
              <w:rPr>
                <w:rFonts w:ascii="Arial" w:hAnsi="Arial" w:cs="David"/>
                <w:b/>
                <w:bCs/>
                <w:sz w:val="24"/>
                <w:szCs w:val="24"/>
                <w:rtl/>
              </w:rPr>
              <w:t>כן מבוטלים הצווים (שהוכתרו כפסיקתות) שנחתמו ביום 03.08.2024, ותחתם יינתנו צווים לגילוי המידע הרפואי של המנוחה בהתאם להחלטה מיום 28.07.2024, דהיינו בהתייחס לתקופה שמיום 28.05.2018 ועד ליום 28.05.2020.</w:t>
            </w:r>
          </w:p>
          <w:p w:rsidR="00872CEA" w:rsidRPr="00872CEA" w:rsidRDefault="00872CEA" w:rsidP="00872CEA">
            <w:pPr>
              <w:spacing w:line="360" w:lineRule="auto"/>
              <w:contextualSpacing/>
              <w:jc w:val="both"/>
              <w:rPr>
                <w:rFonts w:ascii="Arial" w:hAnsi="Arial" w:cs="David"/>
                <w:sz w:val="24"/>
                <w:szCs w:val="24"/>
                <w:rtl/>
              </w:rPr>
            </w:pP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המשיבים ישאו בהוצאות המבקשת בסך 5,000 ₪.</w:t>
            </w:r>
          </w:p>
          <w:p w:rsidR="00872CEA" w:rsidRPr="00872CEA" w:rsidRDefault="00872CEA" w:rsidP="00872CEA">
            <w:pPr>
              <w:spacing w:line="360" w:lineRule="auto"/>
              <w:contextualSpacing/>
              <w:jc w:val="both"/>
              <w:rPr>
                <w:rFonts w:ascii="Arial" w:hAnsi="Arial" w:cs="David"/>
                <w:sz w:val="24"/>
                <w:szCs w:val="24"/>
                <w:rtl/>
              </w:rPr>
            </w:pPr>
            <w:r w:rsidRPr="00872CEA">
              <w:rPr>
                <w:rFonts w:ascii="Arial" w:hAnsi="Arial" w:cs="David"/>
                <w:sz w:val="24"/>
                <w:szCs w:val="24"/>
                <w:rtl/>
              </w:rPr>
              <w:t>העירבון שהופקד ע"י המבקשת יוחזר לה באמצעות באי כוחה.</w:t>
            </w:r>
          </w:p>
          <w:p w:rsidR="00872CEA" w:rsidRPr="00872CEA" w:rsidRDefault="00872CEA" w:rsidP="00872CEA">
            <w:pPr>
              <w:jc w:val="both"/>
              <w:rPr>
                <w:rFonts w:ascii="Arial" w:hAnsi="Arial" w:cs="David"/>
                <w:sz w:val="24"/>
                <w:szCs w:val="24"/>
                <w:rtl/>
              </w:rPr>
            </w:pPr>
          </w:p>
          <w:p w:rsidR="00872CEA" w:rsidRPr="00872CEA" w:rsidRDefault="00872CEA" w:rsidP="00872CEA">
            <w:pPr>
              <w:contextualSpacing/>
              <w:rPr>
                <w:rFonts w:ascii="Arial" w:hAnsi="Arial" w:cs="David"/>
                <w:sz w:val="24"/>
                <w:szCs w:val="24"/>
              </w:rPr>
            </w:pPr>
          </w:p>
          <w:p w:rsidR="00872CEA" w:rsidRPr="00872CEA" w:rsidRDefault="00964A32" w:rsidP="00964A32">
            <w:pPr>
              <w:spacing w:line="360" w:lineRule="auto"/>
              <w:contextualSpacing/>
              <w:jc w:val="both"/>
              <w:rPr>
                <w:rFonts w:ascii="Arial" w:hAnsi="Arial" w:cs="David"/>
                <w:sz w:val="24"/>
                <w:szCs w:val="24"/>
              </w:rPr>
            </w:pPr>
            <w:r>
              <w:rPr>
                <w:rFonts w:ascii="Arial" w:hAnsi="Arial" w:cs="David" w:hint="cs"/>
                <w:sz w:val="24"/>
                <w:szCs w:val="24"/>
                <w:rtl/>
              </w:rPr>
              <w:t>פסק הדין ניתן</w:t>
            </w:r>
            <w:r w:rsidR="00872CEA" w:rsidRPr="00872CEA">
              <w:rPr>
                <w:rFonts w:ascii="Arial" w:hAnsi="Arial" w:cs="David"/>
                <w:sz w:val="24"/>
                <w:szCs w:val="24"/>
                <w:rtl/>
              </w:rPr>
              <w:t xml:space="preserve"> לפרסום תוך השמטת שמות הצדדים ופרטים מזהים נוספים.</w:t>
            </w:r>
          </w:p>
          <w:p w:rsidR="00872CEA" w:rsidRPr="00872CEA" w:rsidRDefault="00872CEA" w:rsidP="00872CEA">
            <w:pPr>
              <w:contextualSpacing/>
              <w:jc w:val="both"/>
              <w:rPr>
                <w:rFonts w:ascii="Arial" w:hAnsi="Arial" w:cs="David"/>
                <w:sz w:val="24"/>
                <w:szCs w:val="24"/>
                <w:rtl/>
              </w:rPr>
            </w:pPr>
          </w:p>
          <w:p w:rsidR="00872CEA" w:rsidRPr="00872CEA" w:rsidRDefault="00872CEA" w:rsidP="00964A32">
            <w:pPr>
              <w:spacing w:line="360" w:lineRule="auto"/>
              <w:contextualSpacing/>
              <w:jc w:val="both"/>
              <w:rPr>
                <w:rFonts w:ascii="Arial" w:hAnsi="Arial" w:cs="David"/>
                <w:sz w:val="24"/>
                <w:szCs w:val="24"/>
                <w:rtl/>
              </w:rPr>
            </w:pPr>
            <w:r w:rsidRPr="00872CEA">
              <w:rPr>
                <w:rFonts w:ascii="Arial" w:hAnsi="Arial" w:cs="David"/>
                <w:sz w:val="24"/>
                <w:szCs w:val="24"/>
                <w:rtl/>
              </w:rPr>
              <w:t xml:space="preserve">המזכירות תמציא </w:t>
            </w:r>
            <w:r w:rsidR="00964A32">
              <w:rPr>
                <w:rFonts w:ascii="Arial" w:hAnsi="Arial" w:cs="David" w:hint="cs"/>
                <w:sz w:val="24"/>
                <w:szCs w:val="24"/>
                <w:rtl/>
              </w:rPr>
              <w:t xml:space="preserve">פסק הדין </w:t>
            </w:r>
            <w:r w:rsidRPr="00872CEA">
              <w:rPr>
                <w:rFonts w:ascii="Arial" w:hAnsi="Arial" w:cs="David"/>
                <w:sz w:val="24"/>
                <w:szCs w:val="24"/>
                <w:rtl/>
              </w:rPr>
              <w:t>לצדדים ותסגור התיק.</w:t>
            </w:r>
          </w:p>
          <w:p w:rsidR="00872CEA" w:rsidRPr="00872CEA" w:rsidRDefault="00872CEA" w:rsidP="00872CEA">
            <w:pPr>
              <w:bidi w:val="0"/>
              <w:rPr>
                <w:rFonts w:ascii="Arial" w:hAnsi="Arial" w:cs="David"/>
                <w:b/>
                <w:bCs/>
                <w:sz w:val="28"/>
                <w:szCs w:val="28"/>
                <w:u w:val="single"/>
              </w:rPr>
            </w:pPr>
          </w:p>
        </w:tc>
      </w:tr>
    </w:tbl>
    <w:p w:rsidR="00964A32" w:rsidRDefault="00964A32" w:rsidP="00964A32">
      <w:pPr>
        <w:spacing w:after="0" w:line="360" w:lineRule="auto"/>
        <w:ind w:left="-625"/>
        <w:jc w:val="both"/>
        <w:rPr>
          <w:rFonts w:ascii="Arial" w:eastAsia="Times New Roman" w:hAnsi="Arial" w:cs="David"/>
          <w:sz w:val="24"/>
          <w:szCs w:val="24"/>
          <w:rtl/>
        </w:rPr>
      </w:pPr>
    </w:p>
    <w:p w:rsidR="00964A32" w:rsidRDefault="00964A32" w:rsidP="00964A32">
      <w:pPr>
        <w:spacing w:after="0" w:line="360" w:lineRule="auto"/>
        <w:ind w:left="-625"/>
        <w:jc w:val="both"/>
        <w:rPr>
          <w:rFonts w:ascii="Arial" w:eastAsia="Times New Roman" w:hAnsi="Arial" w:cs="David"/>
          <w:sz w:val="24"/>
          <w:szCs w:val="24"/>
          <w:rtl/>
        </w:rPr>
      </w:pPr>
    </w:p>
    <w:p w:rsidR="00964A32" w:rsidRDefault="00964A32" w:rsidP="00964A32">
      <w:pPr>
        <w:spacing w:after="0" w:line="360" w:lineRule="auto"/>
        <w:ind w:left="-625"/>
        <w:jc w:val="both"/>
        <w:rPr>
          <w:rFonts w:ascii="Arial" w:eastAsia="Times New Roman" w:hAnsi="Arial" w:cs="David"/>
          <w:sz w:val="24"/>
          <w:szCs w:val="24"/>
          <w:rtl/>
        </w:rPr>
      </w:pPr>
    </w:p>
    <w:p w:rsidR="00872CEA" w:rsidRPr="00872CEA" w:rsidRDefault="00872CEA" w:rsidP="00964A32">
      <w:pPr>
        <w:spacing w:after="0" w:line="360" w:lineRule="auto"/>
        <w:ind w:left="-625"/>
        <w:jc w:val="both"/>
        <w:rPr>
          <w:rFonts w:ascii="Arial" w:eastAsia="Times New Roman" w:hAnsi="Arial" w:cs="David"/>
          <w:sz w:val="24"/>
          <w:szCs w:val="24"/>
          <w:rtl/>
        </w:rPr>
      </w:pPr>
      <w:r w:rsidRPr="00872CEA">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1666048407"/>
          <w:text w:multiLine="1"/>
        </w:sdtPr>
        <w:sdtEndPr/>
        <w:sdtContent>
          <w:r w:rsidRPr="00872CEA">
            <w:rPr>
              <w:rFonts w:ascii="Times New Roman" w:eastAsia="Times New Roman" w:hAnsi="Times New Roman" w:cs="David"/>
              <w:noProof/>
              <w:sz w:val="24"/>
              <w:szCs w:val="24"/>
              <w:rtl/>
            </w:rPr>
            <w:t>כ"ו תשרי תשפ"ה</w:t>
          </w:r>
        </w:sdtContent>
      </w:sdt>
      <w:r w:rsidRPr="00872CEA">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86288958"/>
          <w:text w:multiLine="1"/>
        </w:sdtPr>
        <w:sdtEndPr/>
        <w:sdtContent>
          <w:r w:rsidRPr="00872CEA">
            <w:rPr>
              <w:rFonts w:ascii="Times New Roman" w:eastAsia="Times New Roman" w:hAnsi="Times New Roman" w:cs="David"/>
              <w:noProof/>
              <w:sz w:val="24"/>
              <w:szCs w:val="24"/>
              <w:rtl/>
            </w:rPr>
            <w:t>28 אוקטובר 2024</w:t>
          </w:r>
        </w:sdtContent>
      </w:sdt>
      <w:r w:rsidRPr="00872CEA">
        <w:rPr>
          <w:rFonts w:ascii="Arial" w:eastAsia="Times New Roman" w:hAnsi="Arial" w:cs="David"/>
          <w:sz w:val="24"/>
          <w:szCs w:val="24"/>
          <w:rtl/>
        </w:rPr>
        <w:t>, בהעדר הצדדים.</w:t>
      </w:r>
    </w:p>
    <w:p w:rsidR="00872CEA" w:rsidRPr="00872CEA" w:rsidRDefault="004C6CC1" w:rsidP="00872CEA">
      <w:pPr>
        <w:tabs>
          <w:tab w:val="left" w:pos="2553"/>
        </w:tabs>
        <w:spacing w:after="0" w:line="240" w:lineRule="auto"/>
        <w:ind w:left="5040"/>
        <w:rPr>
          <w:rFonts w:ascii="Times New Roman" w:eastAsia="Times New Roman" w:hAnsi="Times New Roman" w:cs="David"/>
          <w:noProof/>
          <w:sz w:val="24"/>
          <w:szCs w:val="24"/>
          <w:rtl/>
        </w:rPr>
      </w:pPr>
      <w:sdt>
        <w:sdtPr>
          <w:rPr>
            <w:rFonts w:ascii="Times New Roman" w:eastAsia="Times New Roman" w:hAnsi="Times New Roman" w:cs="David"/>
            <w:noProof/>
            <w:sz w:val="24"/>
            <w:szCs w:val="24"/>
            <w:rtl/>
          </w:rPr>
          <w:alias w:val="2045"/>
          <w:tag w:val="2045"/>
          <w:id w:val="740689340"/>
          <w:placeholder>
            <w:docPart w:val="375DC1EB091A4392ADA86D2BA71F4E7A"/>
          </w:placeholder>
          <w:showingPlcHdr/>
          <w:text w:multiLine="1"/>
        </w:sdtPr>
        <w:sdtEndPr/>
        <w:sdtContent>
          <w:r w:rsidR="00872CEA" w:rsidRPr="00872CEA">
            <w:rPr>
              <w:rFonts w:ascii="Times New Roman" w:eastAsia="Times New Roman" w:hAnsi="Times New Roman" w:cs="David"/>
              <w:noProof/>
              <w:sz w:val="24"/>
              <w:szCs w:val="24"/>
              <w:rtl/>
            </w:rPr>
            <w:t xml:space="preserve">     </w:t>
          </w:r>
        </w:sdtContent>
      </w:sdt>
    </w:p>
    <w:p w:rsidR="00872CEA" w:rsidRPr="00872CEA" w:rsidRDefault="00872CEA" w:rsidP="00872CEA">
      <w:pPr>
        <w:tabs>
          <w:tab w:val="left" w:pos="2553"/>
        </w:tabs>
        <w:spacing w:after="0" w:line="240" w:lineRule="auto"/>
        <w:rPr>
          <w:rFonts w:ascii="Times New Roman" w:eastAsia="Times New Roman" w:hAnsi="Times New Roman" w:cs="David"/>
          <w:noProof/>
          <w:sz w:val="24"/>
          <w:szCs w:val="24"/>
          <w:rtl/>
        </w:rPr>
      </w:pPr>
      <w:r w:rsidRPr="00872CEA">
        <w:rPr>
          <w:rFonts w:ascii="Times New Roman" w:eastAsia="Times New Roman" w:hAnsi="Times New Roman" w:cs="David"/>
          <w:noProof/>
          <w:sz w:val="24"/>
          <w:szCs w:val="24"/>
          <w:rtl/>
        </w:rPr>
        <w:tab/>
      </w:r>
      <w:r w:rsidRPr="00872CEA">
        <w:rPr>
          <w:rFonts w:ascii="Times New Roman" w:eastAsia="Times New Roman" w:hAnsi="Times New Roman" w:cs="David"/>
          <w:noProof/>
          <w:sz w:val="24"/>
          <w:szCs w:val="24"/>
          <w:rtl/>
        </w:rPr>
        <w:tab/>
      </w:r>
      <w:r w:rsidRPr="00872CEA">
        <w:rPr>
          <w:rFonts w:ascii="Times New Roman" w:eastAsia="Times New Roman" w:hAnsi="Times New Roman" w:cs="David"/>
          <w:noProof/>
          <w:sz w:val="24"/>
          <w:szCs w:val="24"/>
          <w:rtl/>
        </w:rPr>
        <w:tab/>
      </w:r>
      <w:r w:rsidRPr="00872CEA">
        <w:rPr>
          <w:rFonts w:ascii="Times New Roman" w:eastAsia="Times New Roman" w:hAnsi="Times New Roman" w:cs="David"/>
          <w:noProof/>
          <w:sz w:val="24"/>
          <w:szCs w:val="24"/>
          <w:rtl/>
        </w:rPr>
        <w:tab/>
        <w:t xml:space="preserve">        </w:t>
      </w:r>
      <w:sdt>
        <w:sdtPr>
          <w:rPr>
            <w:rFonts w:ascii="Times New Roman" w:eastAsia="Times New Roman" w:hAnsi="Times New Roman" w:cs="David"/>
            <w:noProof/>
            <w:sz w:val="24"/>
            <w:szCs w:val="24"/>
            <w:rtl/>
          </w:rPr>
          <w:alias w:val="MergeField"/>
          <w:tag w:val="1237"/>
          <w:id w:val="1426539945"/>
        </w:sdtPr>
        <w:sdtEndPr/>
        <w:sdtContent>
          <w:r w:rsidRPr="00872CEA">
            <w:rPr>
              <w:rFonts w:ascii="Times New Roman" w:eastAsia="Times New Roman" w:hAnsi="Times New Roman" w:cs="David"/>
              <w:noProof/>
              <w:sz w:val="24"/>
              <w:szCs w:val="24"/>
            </w:rPr>
            <w:drawing>
              <wp:inline distT="0" distB="0" distL="0" distR="0" wp14:anchorId="1BED35D2" wp14:editId="35920A3E">
                <wp:extent cx="1666875" cy="104775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872CEA" w:rsidRPr="00872CEA" w:rsidRDefault="00872CEA" w:rsidP="00872CEA">
      <w:pPr>
        <w:tabs>
          <w:tab w:val="left" w:pos="2553"/>
        </w:tabs>
        <w:spacing w:after="0" w:line="240" w:lineRule="auto"/>
        <w:rPr>
          <w:rFonts w:ascii="Arial" w:eastAsia="Times New Roman" w:hAnsi="Arial" w:cs="David"/>
          <w:sz w:val="24"/>
          <w:szCs w:val="24"/>
        </w:rPr>
      </w:pPr>
    </w:p>
    <w:p w:rsidR="00EF1CE0" w:rsidRDefault="00EF1CE0">
      <w:pPr>
        <w:rPr>
          <w:rtl/>
        </w:rPr>
      </w:pPr>
    </w:p>
    <w:sectPr w:rsidR="00EF1CE0"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CEA"/>
    <w:rsid w:val="001A72EA"/>
    <w:rsid w:val="004C6CC1"/>
    <w:rsid w:val="00872CEA"/>
    <w:rsid w:val="008925BB"/>
    <w:rsid w:val="00897C85"/>
    <w:rsid w:val="00964A32"/>
    <w:rsid w:val="00EF1CE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0E218C-C07C-4E35-958F-65AF1F91B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72CEA"/>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130338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232531F10C4375928296DFA9D1B11E"/>
        <w:category>
          <w:name w:val="כללי"/>
          <w:gallery w:val="placeholder"/>
        </w:category>
        <w:types>
          <w:type w:val="bbPlcHdr"/>
        </w:types>
        <w:behaviors>
          <w:behavior w:val="content"/>
        </w:behaviors>
        <w:guid w:val="{B0A7F85D-16EB-4567-B4CD-F34DFEED6B98}"/>
      </w:docPartPr>
      <w:docPartBody>
        <w:p w:rsidR="00B36717" w:rsidRDefault="00500898" w:rsidP="00500898">
          <w:pPr>
            <w:pStyle w:val="D7232531F10C4375928296DFA9D1B11E"/>
          </w:pPr>
          <w:r>
            <w:rPr>
              <w:rFonts w:ascii="Arial" w:hAnsi="Arial"/>
              <w:b/>
              <w:bCs/>
              <w:sz w:val="26"/>
              <w:szCs w:val="26"/>
              <w:rtl/>
            </w:rPr>
            <w:t>שם צד א' ללא שם של חסוי</w:t>
          </w:r>
        </w:p>
      </w:docPartBody>
    </w:docPart>
    <w:docPart>
      <w:docPartPr>
        <w:name w:val="1298E23B7D6E4BBAAAB730E783C8794D"/>
        <w:category>
          <w:name w:val="כללי"/>
          <w:gallery w:val="placeholder"/>
        </w:category>
        <w:types>
          <w:type w:val="bbPlcHdr"/>
        </w:types>
        <w:behaviors>
          <w:behavior w:val="content"/>
        </w:behaviors>
        <w:guid w:val="{4A047B52-46BC-4E14-B5EE-CA5BDE165AE4}"/>
      </w:docPartPr>
      <w:docPartBody>
        <w:p w:rsidR="00B36717" w:rsidRDefault="00500898" w:rsidP="00500898">
          <w:pPr>
            <w:pStyle w:val="1298E23B7D6E4BBAAAB730E783C8794D"/>
          </w:pPr>
          <w:r>
            <w:rPr>
              <w:rFonts w:ascii="Arial" w:hAnsi="Arial"/>
              <w:b/>
              <w:bCs/>
              <w:sz w:val="26"/>
              <w:szCs w:val="26"/>
              <w:rtl/>
            </w:rPr>
            <w:t>שם צד ב' ללא שם של חסוי</w:t>
          </w:r>
        </w:p>
      </w:docPartBody>
    </w:docPart>
    <w:docPart>
      <w:docPartPr>
        <w:name w:val="375DC1EB091A4392ADA86D2BA71F4E7A"/>
        <w:category>
          <w:name w:val="כללי"/>
          <w:gallery w:val="placeholder"/>
        </w:category>
        <w:types>
          <w:type w:val="bbPlcHdr"/>
        </w:types>
        <w:behaviors>
          <w:behavior w:val="content"/>
        </w:behaviors>
        <w:guid w:val="{BED9CE94-89BC-4B0B-AD43-2D16F4BC4BCE}"/>
      </w:docPartPr>
      <w:docPartBody>
        <w:p w:rsidR="00B36717" w:rsidRDefault="00500898" w:rsidP="00500898">
          <w:pPr>
            <w:pStyle w:val="375DC1EB091A4392ADA86D2BA71F4E7A"/>
          </w:pPr>
          <w:r>
            <w:rPr>
              <w:rtl/>
            </w:rPr>
            <w:t xml:space="preserve">     </w:t>
          </w:r>
        </w:p>
      </w:docPartBody>
    </w:docPart>
    <w:docPart>
      <w:docPartPr>
        <w:name w:val="61196696C5A344459D0A6696EC7A7597"/>
        <w:category>
          <w:name w:val="כללי"/>
          <w:gallery w:val="placeholder"/>
        </w:category>
        <w:types>
          <w:type w:val="bbPlcHdr"/>
        </w:types>
        <w:behaviors>
          <w:behavior w:val="content"/>
        </w:behaviors>
        <w:guid w:val="{FB91F98B-ED7C-41E0-B879-D5989AC6E562}"/>
      </w:docPartPr>
      <w:docPartBody>
        <w:p w:rsidR="00B36717" w:rsidRDefault="00500898" w:rsidP="00500898">
          <w:pPr>
            <w:pStyle w:val="61196696C5A344459D0A6696EC7A7597"/>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898"/>
    <w:rsid w:val="00500898"/>
    <w:rsid w:val="007D0ED3"/>
    <w:rsid w:val="007F6D5D"/>
    <w:rsid w:val="00B36717"/>
    <w:rsid w:val="00E803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7232531F10C4375928296DFA9D1B11E">
    <w:name w:val="D7232531F10C4375928296DFA9D1B11E"/>
    <w:rsid w:val="00500898"/>
    <w:pPr>
      <w:bidi/>
    </w:pPr>
  </w:style>
  <w:style w:type="paragraph" w:customStyle="1" w:styleId="1298E23B7D6E4BBAAAB730E783C8794D">
    <w:name w:val="1298E23B7D6E4BBAAAB730E783C8794D"/>
    <w:rsid w:val="00500898"/>
    <w:pPr>
      <w:bidi/>
    </w:pPr>
  </w:style>
  <w:style w:type="paragraph" w:customStyle="1" w:styleId="375DC1EB091A4392ADA86D2BA71F4E7A">
    <w:name w:val="375DC1EB091A4392ADA86D2BA71F4E7A"/>
    <w:rsid w:val="00500898"/>
    <w:pPr>
      <w:bidi/>
    </w:pPr>
  </w:style>
  <w:style w:type="paragraph" w:customStyle="1" w:styleId="61196696C5A344459D0A6696EC7A7597">
    <w:name w:val="61196696C5A344459D0A6696EC7A7597"/>
    <w:rsid w:val="00500898"/>
    <w:pPr>
      <w:bidi/>
    </w:pPr>
  </w:style>
  <w:style w:type="paragraph" w:customStyle="1" w:styleId="CAB73914D97F4C73A54C3115EBB85EE0">
    <w:name w:val="CAB73914D97F4C73A54C3115EBB85EE0"/>
    <w:rsid w:val="0050089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4112</Words>
  <Characters>20563</Characters>
  <Application>Microsoft Office Word</Application>
  <DocSecurity>0</DocSecurity>
  <Lines>171</Lines>
  <Paragraphs>49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גרמאו מנגיסטו</cp:lastModifiedBy>
  <cp:revision>2</cp:revision>
  <dcterms:created xsi:type="dcterms:W3CDTF">2024-11-03T06:45:00Z</dcterms:created>
  <dcterms:modified xsi:type="dcterms:W3CDTF">2024-11-03T06:45:00Z</dcterms:modified>
</cp:coreProperties>
</file>